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9501" w14:textId="77777777" w:rsidR="003E01DE" w:rsidRPr="00A4759C" w:rsidRDefault="003E01DE" w:rsidP="00731B2E">
      <w:pPr>
        <w:tabs>
          <w:tab w:val="left" w:pos="2910"/>
          <w:tab w:val="left" w:pos="3340"/>
        </w:tabs>
        <w:spacing w:before="100" w:beforeAutospacing="1" w:after="100" w:afterAutospacing="1" w:line="360" w:lineRule="auto"/>
        <w:ind w:hanging="851"/>
        <w:jc w:val="center"/>
        <w:rPr>
          <w:rFonts w:ascii="Times New Roman" w:eastAsia="Times New Roman" w:hAnsi="Times New Roman" w:cs="Times New Roman"/>
          <w:b/>
          <w:sz w:val="22"/>
          <w:szCs w:val="22"/>
        </w:rPr>
      </w:pPr>
    </w:p>
    <w:p w14:paraId="6A967C61" w14:textId="7D24F882" w:rsidR="003E01DE" w:rsidRPr="00A4759C" w:rsidRDefault="003E01DE" w:rsidP="00731B2E">
      <w:pPr>
        <w:tabs>
          <w:tab w:val="left" w:pos="2910"/>
          <w:tab w:val="left" w:pos="3340"/>
        </w:tabs>
        <w:spacing w:before="100" w:beforeAutospacing="1" w:after="100" w:afterAutospacing="1" w:line="360" w:lineRule="auto"/>
        <w:ind w:hanging="851"/>
        <w:jc w:val="center"/>
        <w:rPr>
          <w:rFonts w:ascii="Times New Roman" w:eastAsia="Times New Roman" w:hAnsi="Times New Roman" w:cs="Times New Roman"/>
          <w:b/>
          <w:sz w:val="22"/>
          <w:szCs w:val="22"/>
        </w:rPr>
      </w:pPr>
      <w:r w:rsidRPr="00A4759C">
        <w:rPr>
          <w:rFonts w:ascii="Times New Roman" w:eastAsia="Times New Roman" w:hAnsi="Times New Roman" w:cs="Times New Roman"/>
          <w:b/>
          <w:sz w:val="22"/>
          <w:szCs w:val="22"/>
        </w:rPr>
        <w:t>PARECER JURÍDICO</w:t>
      </w:r>
    </w:p>
    <w:p w14:paraId="2A2E9704" w14:textId="77777777" w:rsidR="003E01DE" w:rsidRPr="00A4759C" w:rsidRDefault="003E01DE" w:rsidP="00731B2E">
      <w:pPr>
        <w:spacing w:before="100" w:beforeAutospacing="1" w:after="100" w:afterAutospacing="1" w:line="360" w:lineRule="auto"/>
        <w:jc w:val="both"/>
        <w:rPr>
          <w:rFonts w:ascii="Times New Roman" w:eastAsia="Times New Roman" w:hAnsi="Times New Roman" w:cs="Times New Roman"/>
          <w:sz w:val="22"/>
          <w:szCs w:val="22"/>
        </w:rPr>
      </w:pPr>
    </w:p>
    <w:p w14:paraId="58643F01" w14:textId="6FD0C78E" w:rsidR="003E01DE" w:rsidRPr="00A4759C" w:rsidRDefault="003E01DE" w:rsidP="00731B2E">
      <w:pPr>
        <w:spacing w:before="100" w:beforeAutospacing="1" w:after="100" w:afterAutospacing="1" w:line="360" w:lineRule="auto"/>
        <w:jc w:val="both"/>
        <w:rPr>
          <w:rFonts w:ascii="Times New Roman" w:hAnsi="Times New Roman" w:cs="Times New Roman"/>
          <w:b/>
          <w:bCs/>
          <w:sz w:val="22"/>
          <w:szCs w:val="22"/>
        </w:rPr>
      </w:pPr>
      <w:r w:rsidRPr="00A4759C">
        <w:rPr>
          <w:rFonts w:ascii="Times New Roman" w:eastAsia="Times New Roman" w:hAnsi="Times New Roman" w:cs="Times New Roman"/>
          <w:b/>
          <w:sz w:val="22"/>
          <w:szCs w:val="22"/>
        </w:rPr>
        <w:t>PROCESSO</w:t>
      </w:r>
      <w:r w:rsidR="0001280D" w:rsidRPr="00A4759C">
        <w:rPr>
          <w:rFonts w:ascii="Times New Roman" w:eastAsia="Times New Roman" w:hAnsi="Times New Roman" w:cs="Times New Roman"/>
          <w:b/>
          <w:sz w:val="22"/>
          <w:szCs w:val="22"/>
        </w:rPr>
        <w:t>S</w:t>
      </w:r>
      <w:r w:rsidRPr="00A4759C">
        <w:rPr>
          <w:rFonts w:ascii="Times New Roman" w:eastAsia="Times New Roman" w:hAnsi="Times New Roman" w:cs="Times New Roman"/>
          <w:b/>
          <w:sz w:val="22"/>
          <w:szCs w:val="22"/>
        </w:rPr>
        <w:t xml:space="preserve"> ADMINISTRATIVO</w:t>
      </w:r>
      <w:r w:rsidR="0001280D" w:rsidRPr="00A4759C">
        <w:rPr>
          <w:rFonts w:ascii="Times New Roman" w:eastAsia="Times New Roman" w:hAnsi="Times New Roman" w:cs="Times New Roman"/>
          <w:b/>
          <w:sz w:val="22"/>
          <w:szCs w:val="22"/>
        </w:rPr>
        <w:t>S</w:t>
      </w:r>
      <w:r w:rsidRPr="00A4759C">
        <w:rPr>
          <w:rFonts w:ascii="Times New Roman" w:eastAsia="Times New Roman" w:hAnsi="Times New Roman" w:cs="Times New Roman"/>
          <w:b/>
          <w:sz w:val="22"/>
          <w:szCs w:val="22"/>
        </w:rPr>
        <w:t xml:space="preserve"> Nº:</w:t>
      </w:r>
      <w:r w:rsidRPr="00A4759C">
        <w:rPr>
          <w:rFonts w:ascii="Times New Roman" w:eastAsia="Times New Roman" w:hAnsi="Times New Roman" w:cs="Times New Roman"/>
          <w:sz w:val="22"/>
          <w:szCs w:val="22"/>
        </w:rPr>
        <w:t xml:space="preserve"> </w:t>
      </w:r>
      <w:r w:rsidRPr="00A4759C">
        <w:rPr>
          <w:rFonts w:ascii="Times New Roman" w:hAnsi="Times New Roman" w:cs="Times New Roman"/>
          <w:b/>
          <w:bCs/>
          <w:sz w:val="22"/>
          <w:szCs w:val="22"/>
        </w:rPr>
        <w:t>001</w:t>
      </w:r>
      <w:r w:rsidR="0001280D" w:rsidRPr="00A4759C">
        <w:rPr>
          <w:rFonts w:ascii="Times New Roman" w:hAnsi="Times New Roman" w:cs="Times New Roman"/>
          <w:b/>
          <w:bCs/>
          <w:sz w:val="22"/>
          <w:szCs w:val="22"/>
        </w:rPr>
        <w:t xml:space="preserve"> e 002</w:t>
      </w:r>
      <w:r w:rsidRPr="00A4759C">
        <w:rPr>
          <w:rFonts w:ascii="Times New Roman" w:hAnsi="Times New Roman" w:cs="Times New Roman"/>
          <w:b/>
          <w:bCs/>
          <w:sz w:val="22"/>
          <w:szCs w:val="22"/>
        </w:rPr>
        <w:t xml:space="preserve">/2025. </w:t>
      </w:r>
    </w:p>
    <w:p w14:paraId="1AABF5DE" w14:textId="47826A4D" w:rsidR="003E01DE" w:rsidRPr="00A4759C" w:rsidRDefault="003E01DE" w:rsidP="00731B2E">
      <w:p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b/>
          <w:bCs/>
          <w:sz w:val="22"/>
          <w:szCs w:val="22"/>
        </w:rPr>
        <w:t xml:space="preserve">Assunto: </w:t>
      </w:r>
      <w:r w:rsidRPr="00A4759C">
        <w:rPr>
          <w:rFonts w:ascii="Times New Roman" w:hAnsi="Times New Roman" w:cs="Times New Roman"/>
          <w:sz w:val="22"/>
          <w:szCs w:val="22"/>
        </w:rPr>
        <w:t xml:space="preserve">Doação de Bens Inservíveis </w:t>
      </w:r>
    </w:p>
    <w:p w14:paraId="4B3C0311" w14:textId="3CF4998D" w:rsidR="003E01DE" w:rsidRPr="00A4759C" w:rsidRDefault="003E01DE" w:rsidP="00731B2E">
      <w:pPr>
        <w:spacing w:before="100" w:beforeAutospacing="1" w:after="100" w:afterAutospacing="1" w:line="360" w:lineRule="auto"/>
        <w:jc w:val="both"/>
        <w:rPr>
          <w:rFonts w:ascii="Times New Roman" w:eastAsia="Times New Roman" w:hAnsi="Times New Roman" w:cs="Times New Roman"/>
          <w:sz w:val="22"/>
          <w:szCs w:val="22"/>
        </w:rPr>
      </w:pPr>
      <w:r w:rsidRPr="00A4759C">
        <w:rPr>
          <w:rFonts w:ascii="Times New Roman" w:eastAsia="Times New Roman" w:hAnsi="Times New Roman" w:cs="Times New Roman"/>
          <w:b/>
          <w:sz w:val="22"/>
          <w:szCs w:val="22"/>
        </w:rPr>
        <w:t>INTERESSADO:</w:t>
      </w:r>
      <w:r w:rsidRPr="00A4759C">
        <w:rPr>
          <w:rFonts w:ascii="Times New Roman" w:eastAsia="Times New Roman" w:hAnsi="Times New Roman" w:cs="Times New Roman"/>
          <w:sz w:val="22"/>
          <w:szCs w:val="22"/>
        </w:rPr>
        <w:t xml:space="preserve"> </w:t>
      </w:r>
      <w:r w:rsidR="00731B2E" w:rsidRPr="00A4759C">
        <w:rPr>
          <w:rFonts w:ascii="Times New Roman" w:eastAsia="Times New Roman" w:hAnsi="Times New Roman" w:cs="Times New Roman"/>
          <w:sz w:val="22"/>
          <w:szCs w:val="22"/>
        </w:rPr>
        <w:t>Prefeitura Municipal e Associação do Bela Vista.</w:t>
      </w:r>
    </w:p>
    <w:p w14:paraId="3403D03A" w14:textId="77777777" w:rsidR="00E56F34" w:rsidRPr="00A4759C" w:rsidRDefault="00E56F34" w:rsidP="00731B2E">
      <w:pPr>
        <w:spacing w:before="100" w:beforeAutospacing="1" w:after="100" w:afterAutospacing="1" w:line="360" w:lineRule="auto"/>
        <w:ind w:firstLine="360"/>
        <w:jc w:val="both"/>
        <w:rPr>
          <w:rFonts w:ascii="Times New Roman" w:hAnsi="Times New Roman" w:cs="Times New Roman"/>
          <w:bCs/>
          <w:sz w:val="22"/>
          <w:szCs w:val="22"/>
        </w:rPr>
      </w:pPr>
    </w:p>
    <w:p w14:paraId="0CD56DF6" w14:textId="3D74966D" w:rsidR="003E01DE" w:rsidRPr="00A4759C" w:rsidRDefault="003E01DE" w:rsidP="00731B2E">
      <w:pPr>
        <w:numPr>
          <w:ilvl w:val="0"/>
          <w:numId w:val="2"/>
        </w:numPr>
        <w:spacing w:before="100" w:beforeAutospacing="1" w:after="100" w:afterAutospacing="1" w:line="360" w:lineRule="auto"/>
        <w:jc w:val="both"/>
        <w:rPr>
          <w:rFonts w:ascii="Times New Roman" w:hAnsi="Times New Roman" w:cs="Times New Roman"/>
          <w:b/>
          <w:bCs/>
          <w:sz w:val="22"/>
          <w:szCs w:val="22"/>
        </w:rPr>
      </w:pPr>
      <w:r w:rsidRPr="00A4759C">
        <w:rPr>
          <w:rFonts w:ascii="Times New Roman" w:hAnsi="Times New Roman" w:cs="Times New Roman"/>
          <w:b/>
          <w:bCs/>
          <w:sz w:val="22"/>
          <w:szCs w:val="22"/>
        </w:rPr>
        <w:t>PRELIMINARMENTE</w:t>
      </w:r>
    </w:p>
    <w:p w14:paraId="085B0375" w14:textId="52DBCFFF" w:rsidR="003E01DE" w:rsidRPr="00A4759C" w:rsidRDefault="003E01DE" w:rsidP="00731B2E">
      <w:pPr>
        <w:spacing w:before="100" w:beforeAutospacing="1" w:after="100" w:afterAutospacing="1" w:line="360" w:lineRule="auto"/>
        <w:ind w:firstLine="426"/>
        <w:jc w:val="both"/>
        <w:rPr>
          <w:rFonts w:ascii="Times New Roman" w:hAnsi="Times New Roman" w:cs="Times New Roman"/>
          <w:sz w:val="22"/>
          <w:szCs w:val="22"/>
        </w:rPr>
      </w:pPr>
      <w:r w:rsidRPr="00A4759C">
        <w:rPr>
          <w:rFonts w:ascii="Times New Roman" w:hAnsi="Times New Roman" w:cs="Times New Roman"/>
          <w:sz w:val="22"/>
          <w:szCs w:val="22"/>
        </w:rPr>
        <w:t>Informe-se preliminarmente que até o décimo dia útil após a posse do presidente eleito da Mesa Diretora da Casa, prazo previsto para a Entrega do Relatório Técnico Conclusivo da Equipe de Transição, devidamente acompanhado de toda a documentação que o subsidiou com lastro no Art. 9º, §1, II da Resolução 034/2016 – TCE</w:t>
      </w:r>
      <w:r w:rsidR="0001280D" w:rsidRPr="00A4759C">
        <w:rPr>
          <w:rFonts w:ascii="Times New Roman" w:hAnsi="Times New Roman" w:cs="Times New Roman"/>
          <w:sz w:val="22"/>
          <w:szCs w:val="22"/>
        </w:rPr>
        <w:t xml:space="preserve"> não deve transcorrer prazo processual para efeitos de doação de bens, uma vez que a Equipe de Transição deve colacionar ao Relatório de Praxe documentação pertinente a listagem de bens móveis e imóveis da Casa.</w:t>
      </w:r>
    </w:p>
    <w:p w14:paraId="56ED8294" w14:textId="742D885B" w:rsidR="0001280D" w:rsidRPr="00A4759C" w:rsidRDefault="0001280D" w:rsidP="00731B2E">
      <w:pPr>
        <w:spacing w:before="100" w:beforeAutospacing="1" w:after="100" w:afterAutospacing="1" w:line="360" w:lineRule="auto"/>
        <w:ind w:firstLine="426"/>
        <w:jc w:val="both"/>
        <w:rPr>
          <w:rFonts w:ascii="Times New Roman" w:hAnsi="Times New Roman" w:cs="Times New Roman"/>
          <w:sz w:val="22"/>
          <w:szCs w:val="22"/>
        </w:rPr>
      </w:pPr>
      <w:r w:rsidRPr="00A4759C">
        <w:rPr>
          <w:rFonts w:ascii="Times New Roman" w:hAnsi="Times New Roman" w:cs="Times New Roman"/>
          <w:sz w:val="22"/>
          <w:szCs w:val="22"/>
        </w:rPr>
        <w:t xml:space="preserve">Nesse diapasão, somente após o recebimento do protocolo da Comissão, o atual gestor deve proceder com quaisquer atos frente a requerimentos que solicitem doação dos bens </w:t>
      </w:r>
      <w:r w:rsidR="00080805" w:rsidRPr="00A4759C">
        <w:rPr>
          <w:rFonts w:ascii="Times New Roman" w:hAnsi="Times New Roman" w:cs="Times New Roman"/>
          <w:sz w:val="22"/>
          <w:szCs w:val="22"/>
        </w:rPr>
        <w:t>“</w:t>
      </w:r>
      <w:r w:rsidRPr="00A4759C">
        <w:rPr>
          <w:rFonts w:ascii="Times New Roman" w:hAnsi="Times New Roman" w:cs="Times New Roman"/>
          <w:sz w:val="22"/>
          <w:szCs w:val="22"/>
        </w:rPr>
        <w:t>inservíveis</w:t>
      </w:r>
      <w:r w:rsidR="00080805" w:rsidRPr="00A4759C">
        <w:rPr>
          <w:rFonts w:ascii="Times New Roman" w:hAnsi="Times New Roman" w:cs="Times New Roman"/>
          <w:sz w:val="22"/>
          <w:szCs w:val="22"/>
        </w:rPr>
        <w:t>”</w:t>
      </w:r>
      <w:r w:rsidRPr="00A4759C">
        <w:rPr>
          <w:rFonts w:ascii="Times New Roman" w:hAnsi="Times New Roman" w:cs="Times New Roman"/>
          <w:sz w:val="22"/>
          <w:szCs w:val="22"/>
        </w:rPr>
        <w:t xml:space="preserve"> da Casa.</w:t>
      </w:r>
    </w:p>
    <w:p w14:paraId="11582075" w14:textId="39FBD2DE" w:rsidR="00E56F34" w:rsidRPr="00A4759C" w:rsidRDefault="00E56F34" w:rsidP="00731B2E">
      <w:pPr>
        <w:numPr>
          <w:ilvl w:val="0"/>
          <w:numId w:val="2"/>
        </w:numPr>
        <w:spacing w:before="100" w:beforeAutospacing="1" w:after="100" w:afterAutospacing="1" w:line="360" w:lineRule="auto"/>
        <w:jc w:val="both"/>
        <w:rPr>
          <w:rFonts w:ascii="Times New Roman" w:hAnsi="Times New Roman" w:cs="Times New Roman"/>
          <w:b/>
          <w:bCs/>
          <w:sz w:val="22"/>
          <w:szCs w:val="22"/>
        </w:rPr>
      </w:pPr>
      <w:r w:rsidRPr="00A4759C">
        <w:rPr>
          <w:rFonts w:ascii="Times New Roman" w:hAnsi="Times New Roman" w:cs="Times New Roman"/>
          <w:b/>
          <w:bCs/>
          <w:sz w:val="22"/>
          <w:szCs w:val="22"/>
        </w:rPr>
        <w:t>AQUISIÇÃO DE BENS PÚBLICOS</w:t>
      </w:r>
    </w:p>
    <w:p w14:paraId="7CE1E4BE" w14:textId="18F6509E" w:rsidR="00E56F34" w:rsidRPr="00A4759C" w:rsidRDefault="00E56F34" w:rsidP="00731B2E">
      <w:pPr>
        <w:spacing w:before="100" w:beforeAutospacing="1" w:after="100" w:afterAutospacing="1" w:line="360" w:lineRule="auto"/>
        <w:ind w:firstLine="360"/>
        <w:jc w:val="both"/>
        <w:rPr>
          <w:rFonts w:ascii="Times New Roman" w:hAnsi="Times New Roman" w:cs="Times New Roman"/>
          <w:b/>
          <w:bCs/>
          <w:sz w:val="22"/>
          <w:szCs w:val="22"/>
        </w:rPr>
      </w:pPr>
      <w:r w:rsidRPr="00A4759C">
        <w:rPr>
          <w:rFonts w:ascii="Times New Roman" w:hAnsi="Times New Roman" w:cs="Times New Roman"/>
          <w:bCs/>
          <w:sz w:val="22"/>
          <w:szCs w:val="22"/>
        </w:rPr>
        <w:t xml:space="preserve">A aquisição de bens públicos permanentes tem como objetivo o desenvolvimento de suas atividades, bem como a prestação se serviços públicos </w:t>
      </w:r>
      <w:r w:rsidR="005A2235" w:rsidRPr="00A4759C">
        <w:rPr>
          <w:rFonts w:ascii="Times New Roman" w:hAnsi="Times New Roman" w:cs="Times New Roman"/>
          <w:bCs/>
          <w:sz w:val="22"/>
          <w:szCs w:val="22"/>
        </w:rPr>
        <w:t>a</w:t>
      </w:r>
      <w:r w:rsidRPr="00A4759C">
        <w:rPr>
          <w:rFonts w:ascii="Times New Roman" w:hAnsi="Times New Roman" w:cs="Times New Roman"/>
          <w:bCs/>
          <w:sz w:val="22"/>
          <w:szCs w:val="22"/>
        </w:rPr>
        <w:t xml:space="preserve"> sociedade. Com o decurso do tempo, tais bens deixam de ser úteis ao órgão possuidor, e são classificados como bens “insersiveis”, denominação genérica atribuída aos bens ociosos, recuperáveis, antieconômicos e irrecuperáveis como previsto no decreto n° </w:t>
      </w:r>
      <w:r w:rsidRPr="00A4759C">
        <w:rPr>
          <w:rFonts w:ascii="Times New Roman" w:hAnsi="Times New Roman" w:cs="Times New Roman"/>
          <w:sz w:val="22"/>
          <w:szCs w:val="22"/>
        </w:rPr>
        <w:t xml:space="preserve">9.373, de 11 de maio de 2018. </w:t>
      </w:r>
    </w:p>
    <w:p w14:paraId="01114EBA" w14:textId="30B66064" w:rsidR="00E56F34" w:rsidRPr="00A4759C" w:rsidRDefault="00E56F34"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 xml:space="preserve">De acordo com o Código Civil Brasileiro são públicos os bens de domínio nacional pertencentes às pessoas jurídicas de direito público interno. Dentre os bens públicos dominicais da Administração Pública, existirão bem móveis e imóveis, e dentre as formas de alienação estará à doação. Considera-se doação o contrato em que uma pessoa, por liberalidade, transfere seu patrimônio bens ou vantagens para o de outra (artigo 538 C.C). A doação quando celebrada por </w:t>
      </w:r>
      <w:r w:rsidRPr="00A4759C">
        <w:rPr>
          <w:rFonts w:ascii="Times New Roman" w:hAnsi="Times New Roman" w:cs="Times New Roman"/>
          <w:sz w:val="22"/>
          <w:szCs w:val="22"/>
        </w:rPr>
        <w:lastRenderedPageBreak/>
        <w:t xml:space="preserve">integrantes da Administração Pública, deverá ser tutelada pela lei de licitações, salvo em casos exclusivos de interesse social (Lei n° </w:t>
      </w:r>
      <w:r w:rsidR="005A2235" w:rsidRPr="00A4759C">
        <w:rPr>
          <w:rFonts w:ascii="Times New Roman" w:hAnsi="Times New Roman" w:cs="Times New Roman"/>
          <w:sz w:val="22"/>
          <w:szCs w:val="22"/>
        </w:rPr>
        <w:t>14.133/21</w:t>
      </w:r>
      <w:r w:rsidRPr="00A4759C">
        <w:rPr>
          <w:rFonts w:ascii="Times New Roman" w:hAnsi="Times New Roman" w:cs="Times New Roman"/>
          <w:sz w:val="22"/>
          <w:szCs w:val="22"/>
        </w:rPr>
        <w:t>).</w:t>
      </w:r>
    </w:p>
    <w:p w14:paraId="51842218" w14:textId="77777777" w:rsidR="005A2235" w:rsidRPr="00A4759C" w:rsidRDefault="005A2235" w:rsidP="00731B2E">
      <w:pPr>
        <w:spacing w:before="100" w:beforeAutospacing="1" w:after="100" w:afterAutospacing="1" w:line="360" w:lineRule="auto"/>
        <w:ind w:firstLine="360"/>
        <w:jc w:val="both"/>
        <w:rPr>
          <w:rFonts w:ascii="Times New Roman" w:hAnsi="Times New Roman" w:cs="Times New Roman"/>
          <w:sz w:val="22"/>
          <w:szCs w:val="22"/>
        </w:rPr>
      </w:pPr>
      <w:r w:rsidRPr="005A2235">
        <w:rPr>
          <w:rFonts w:ascii="Times New Roman" w:hAnsi="Times New Roman" w:cs="Times New Roman"/>
          <w:sz w:val="22"/>
          <w:szCs w:val="22"/>
        </w:rPr>
        <w:t>Nos casos de </w:t>
      </w:r>
      <w:r w:rsidRPr="005A2235">
        <w:rPr>
          <w:rFonts w:ascii="Times New Roman" w:hAnsi="Times New Roman" w:cs="Times New Roman"/>
          <w:i/>
          <w:iCs/>
          <w:sz w:val="22"/>
          <w:szCs w:val="22"/>
        </w:rPr>
        <w:t>alienação de bens móveis</w:t>
      </w:r>
      <w:r w:rsidRPr="005A2235">
        <w:rPr>
          <w:rFonts w:ascii="Times New Roman" w:hAnsi="Times New Roman" w:cs="Times New Roman"/>
          <w:sz w:val="22"/>
          <w:szCs w:val="22"/>
        </w:rPr>
        <w:t xml:space="preserve">, </w:t>
      </w:r>
      <w:r w:rsidRPr="00A4759C">
        <w:rPr>
          <w:rFonts w:ascii="Times New Roman" w:hAnsi="Times New Roman" w:cs="Times New Roman"/>
          <w:sz w:val="22"/>
          <w:szCs w:val="22"/>
        </w:rPr>
        <w:t>a Lei nº 14.133/21 dita as regras</w:t>
      </w:r>
      <w:r w:rsidRPr="005A2235">
        <w:rPr>
          <w:rFonts w:ascii="Times New Roman" w:hAnsi="Times New Roman" w:cs="Times New Roman"/>
          <w:sz w:val="22"/>
          <w:szCs w:val="22"/>
        </w:rPr>
        <w:t>, devendo haver: 1) existência de interesse público, devidamente justificado; 2) avaliação do bem; e 3) licitação, na modalidade leilão, exceto nos casos em que a licitação é dispensada.</w:t>
      </w:r>
    </w:p>
    <w:p w14:paraId="2CFF0C35" w14:textId="722D5E36" w:rsidR="005A2235" w:rsidRPr="005A2235" w:rsidRDefault="005A2235" w:rsidP="00731B2E">
      <w:pPr>
        <w:spacing w:before="100" w:beforeAutospacing="1" w:after="100" w:afterAutospacing="1" w:line="360" w:lineRule="auto"/>
        <w:ind w:firstLine="360"/>
        <w:jc w:val="both"/>
        <w:rPr>
          <w:rFonts w:ascii="Times New Roman" w:hAnsi="Times New Roman" w:cs="Times New Roman"/>
          <w:sz w:val="22"/>
          <w:szCs w:val="22"/>
        </w:rPr>
      </w:pPr>
      <w:r w:rsidRPr="005A2235">
        <w:rPr>
          <w:rFonts w:ascii="Times New Roman" w:hAnsi="Times New Roman" w:cs="Times New Roman"/>
          <w:sz w:val="22"/>
          <w:szCs w:val="22"/>
        </w:rPr>
        <w:t>Os casos de licitação dispensada para alienação de </w:t>
      </w:r>
      <w:r w:rsidRPr="005A2235">
        <w:rPr>
          <w:rFonts w:ascii="Times New Roman" w:hAnsi="Times New Roman" w:cs="Times New Roman"/>
          <w:i/>
          <w:iCs/>
          <w:sz w:val="22"/>
          <w:szCs w:val="22"/>
        </w:rPr>
        <w:t>bens móveis</w:t>
      </w:r>
      <w:r w:rsidRPr="005A2235">
        <w:rPr>
          <w:rFonts w:ascii="Times New Roman" w:hAnsi="Times New Roman" w:cs="Times New Roman"/>
          <w:sz w:val="22"/>
          <w:szCs w:val="22"/>
        </w:rPr>
        <w:t>, vêm elencados no inciso </w:t>
      </w:r>
      <w:hyperlink r:id="rId8" w:tooltip="Inciso II do Artigo 76 da Lei nº 14.133 de 01 de Abril de 2021" w:history="1">
        <w:r w:rsidRPr="005A2235">
          <w:rPr>
            <w:rStyle w:val="Hyperlink"/>
            <w:rFonts w:ascii="Times New Roman" w:hAnsi="Times New Roman" w:cs="Times New Roman"/>
            <w:color w:val="auto"/>
            <w:sz w:val="22"/>
            <w:szCs w:val="22"/>
          </w:rPr>
          <w:t>II</w:t>
        </w:r>
      </w:hyperlink>
      <w:r w:rsidRPr="005A2235">
        <w:rPr>
          <w:rFonts w:ascii="Times New Roman" w:hAnsi="Times New Roman" w:cs="Times New Roman"/>
          <w:sz w:val="22"/>
          <w:szCs w:val="22"/>
        </w:rPr>
        <w:t> do artigo </w:t>
      </w:r>
      <w:hyperlink r:id="rId9" w:tooltip="Artigo 76 da Lei nº 14.133 de 01 de Abril de 2021" w:history="1">
        <w:r w:rsidRPr="005A2235">
          <w:rPr>
            <w:rStyle w:val="Hyperlink"/>
            <w:rFonts w:ascii="Times New Roman" w:hAnsi="Times New Roman" w:cs="Times New Roman"/>
            <w:color w:val="auto"/>
            <w:sz w:val="22"/>
            <w:szCs w:val="22"/>
          </w:rPr>
          <w:t>76</w:t>
        </w:r>
      </w:hyperlink>
      <w:r w:rsidRPr="005A2235">
        <w:rPr>
          <w:rFonts w:ascii="Times New Roman" w:hAnsi="Times New Roman" w:cs="Times New Roman"/>
          <w:sz w:val="22"/>
          <w:szCs w:val="22"/>
        </w:rPr>
        <w:t> da Lei nº </w:t>
      </w:r>
      <w:hyperlink r:id="rId10" w:tooltip="LEI Nº 14.133, DE 1º DE ABRIL DE 2021" w:history="1">
        <w:r w:rsidRPr="005A2235">
          <w:rPr>
            <w:rStyle w:val="Hyperlink"/>
            <w:rFonts w:ascii="Times New Roman" w:hAnsi="Times New Roman" w:cs="Times New Roman"/>
            <w:color w:val="auto"/>
            <w:sz w:val="22"/>
            <w:szCs w:val="22"/>
          </w:rPr>
          <w:t>14.133</w:t>
        </w:r>
      </w:hyperlink>
      <w:r w:rsidRPr="005A2235">
        <w:rPr>
          <w:rFonts w:ascii="Times New Roman" w:hAnsi="Times New Roman" w:cs="Times New Roman"/>
          <w:sz w:val="22"/>
          <w:szCs w:val="22"/>
        </w:rPr>
        <w:t>/2021, a saber:</w:t>
      </w:r>
    </w:p>
    <w:p w14:paraId="4F841170" w14:textId="77777777" w:rsidR="005A2235" w:rsidRPr="005A2235" w:rsidRDefault="005A2235" w:rsidP="00731B2E">
      <w:pPr>
        <w:spacing w:before="100" w:beforeAutospacing="1" w:after="100" w:afterAutospacing="1" w:line="360" w:lineRule="auto"/>
        <w:ind w:left="4253"/>
        <w:jc w:val="both"/>
        <w:rPr>
          <w:rFonts w:ascii="Times New Roman" w:hAnsi="Times New Roman" w:cs="Times New Roman"/>
          <w:sz w:val="22"/>
          <w:szCs w:val="22"/>
        </w:rPr>
      </w:pPr>
      <w:r w:rsidRPr="005A2235">
        <w:rPr>
          <w:rFonts w:ascii="Times New Roman" w:hAnsi="Times New Roman" w:cs="Times New Roman"/>
          <w:i/>
          <w:iCs/>
          <w:sz w:val="22"/>
          <w:szCs w:val="22"/>
        </w:rPr>
        <w:t>a) doação, permitida exclusivamente para fins e uso de interesse social, após avaliação de oportunidade e conveniência socioeconômica em relação à escolha de outra forma de alienação;</w:t>
      </w:r>
    </w:p>
    <w:p w14:paraId="16F4A49A" w14:textId="0B891307" w:rsidR="005A2235" w:rsidRPr="00A4759C" w:rsidRDefault="005A2235"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 xml:space="preserve">Ora, considerando que os dois processos administrativos em análise </w:t>
      </w:r>
      <w:r w:rsidR="008D341F" w:rsidRPr="00A4759C">
        <w:rPr>
          <w:rFonts w:ascii="Times New Roman" w:hAnsi="Times New Roman" w:cs="Times New Roman"/>
          <w:sz w:val="22"/>
          <w:szCs w:val="22"/>
        </w:rPr>
        <w:t>trazem à tona solicitações imbuídas de interesse social, senão, público, uma vez que será para uso no atendimento as pessoas da comunidade.</w:t>
      </w:r>
    </w:p>
    <w:p w14:paraId="1005F93C" w14:textId="793B6FB1" w:rsidR="00E56F34" w:rsidRPr="00A4759C" w:rsidRDefault="005A2235"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Ademais, o</w:t>
      </w:r>
      <w:r w:rsidR="00E56F34" w:rsidRPr="00A4759C">
        <w:rPr>
          <w:rFonts w:ascii="Times New Roman" w:hAnsi="Times New Roman" w:cs="Times New Roman"/>
          <w:sz w:val="22"/>
          <w:szCs w:val="22"/>
        </w:rPr>
        <w:t xml:space="preserve"> desfazimento dos bens inservíveis deve seguir todos os procedimentos legais bem como procedimentos instituídos pela </w:t>
      </w:r>
      <w:r w:rsidRPr="00A4759C">
        <w:rPr>
          <w:rFonts w:ascii="Times New Roman" w:hAnsi="Times New Roman" w:cs="Times New Roman"/>
          <w:sz w:val="22"/>
          <w:szCs w:val="22"/>
        </w:rPr>
        <w:t>Casa</w:t>
      </w:r>
      <w:r w:rsidR="00E56F34" w:rsidRPr="00A4759C">
        <w:rPr>
          <w:rFonts w:ascii="Times New Roman" w:hAnsi="Times New Roman" w:cs="Times New Roman"/>
          <w:sz w:val="22"/>
          <w:szCs w:val="22"/>
        </w:rPr>
        <w:t xml:space="preserve">. Partindo dessa premissa, a conduta da administração pública deve se basear nos princípios basilares do direito administrativo, dentre eles a legalidade, proteção ao interesse público, moralidades entre outros.  </w:t>
      </w:r>
    </w:p>
    <w:p w14:paraId="5B0D3777" w14:textId="6AB5DAFD" w:rsidR="008D341F" w:rsidRPr="00A4759C" w:rsidRDefault="008D341F" w:rsidP="00731B2E">
      <w:pPr>
        <w:numPr>
          <w:ilvl w:val="0"/>
          <w:numId w:val="2"/>
        </w:numPr>
        <w:spacing w:before="100" w:beforeAutospacing="1" w:after="100" w:afterAutospacing="1" w:line="360" w:lineRule="auto"/>
        <w:jc w:val="both"/>
        <w:rPr>
          <w:rFonts w:ascii="Times New Roman" w:hAnsi="Times New Roman" w:cs="Times New Roman"/>
          <w:b/>
          <w:bCs/>
          <w:sz w:val="22"/>
          <w:szCs w:val="22"/>
        </w:rPr>
      </w:pPr>
      <w:r w:rsidRPr="00A4759C">
        <w:rPr>
          <w:rFonts w:ascii="Times New Roman" w:hAnsi="Times New Roman" w:cs="Times New Roman"/>
          <w:b/>
          <w:bCs/>
          <w:sz w:val="22"/>
          <w:szCs w:val="22"/>
        </w:rPr>
        <w:t>DESFAZIMENTO</w:t>
      </w:r>
      <w:r w:rsidRPr="00A4759C">
        <w:rPr>
          <w:rFonts w:ascii="Times New Roman" w:hAnsi="Times New Roman" w:cs="Times New Roman"/>
          <w:b/>
          <w:bCs/>
          <w:sz w:val="22"/>
          <w:szCs w:val="22"/>
        </w:rPr>
        <w:t xml:space="preserve"> DE BENS PÚBLICOS</w:t>
      </w:r>
    </w:p>
    <w:p w14:paraId="708B8927" w14:textId="77777777" w:rsidR="008D341F" w:rsidRPr="00A4759C" w:rsidRDefault="008D341F" w:rsidP="00731B2E">
      <w:pPr>
        <w:spacing w:before="100" w:beforeAutospacing="1" w:after="100" w:afterAutospacing="1" w:line="360" w:lineRule="auto"/>
        <w:ind w:firstLine="360"/>
        <w:jc w:val="both"/>
        <w:rPr>
          <w:rFonts w:ascii="Times New Roman" w:hAnsi="Times New Roman" w:cs="Times New Roman"/>
          <w:b/>
          <w:bCs/>
          <w:sz w:val="22"/>
          <w:szCs w:val="22"/>
        </w:rPr>
      </w:pPr>
      <w:r w:rsidRPr="00A4759C">
        <w:rPr>
          <w:rFonts w:ascii="Times New Roman" w:hAnsi="Times New Roman" w:cs="Times New Roman"/>
          <w:sz w:val="22"/>
          <w:szCs w:val="22"/>
        </w:rPr>
        <w:t xml:space="preserve">O desfazimento de bens públicos consiste no processo de exclusão de um bem do acervo patrimonial da instituição, de acordo com a legislação vigente e expressamente autorizada pelo dirigente da unidade gestora. Tais bens necessitam seguir requisitos mínimos de classificação e a entidade deve avaliá-los e classificá-los de forma pertinente com a legislação. Conforme artigo 3° do Decreto 9.373./2018 para o bem ser considerado inservível deve ser classificado como: </w:t>
      </w:r>
    </w:p>
    <w:p w14:paraId="3419931B" w14:textId="77777777" w:rsidR="008D341F" w:rsidRPr="00A4759C" w:rsidRDefault="008D341F" w:rsidP="00731B2E">
      <w:pPr>
        <w:spacing w:before="100" w:beforeAutospacing="1" w:after="100" w:afterAutospacing="1" w:line="360" w:lineRule="auto"/>
        <w:ind w:firstLine="360"/>
        <w:jc w:val="both"/>
        <w:rPr>
          <w:rFonts w:ascii="Times New Roman" w:hAnsi="Times New Roman" w:cs="Times New Roman"/>
          <w:b/>
          <w:bCs/>
          <w:sz w:val="22"/>
          <w:szCs w:val="22"/>
        </w:rPr>
      </w:pPr>
      <w:r w:rsidRPr="00A4759C">
        <w:rPr>
          <w:rFonts w:ascii="Times New Roman" w:hAnsi="Times New Roman" w:cs="Times New Roman"/>
          <w:b/>
          <w:sz w:val="22"/>
          <w:szCs w:val="22"/>
        </w:rPr>
        <w:t>Ocioso:</w:t>
      </w:r>
      <w:r w:rsidRPr="00A4759C">
        <w:rPr>
          <w:rFonts w:ascii="Times New Roman" w:hAnsi="Times New Roman" w:cs="Times New Roman"/>
          <w:sz w:val="22"/>
          <w:szCs w:val="22"/>
        </w:rPr>
        <w:t xml:space="preserve"> bem móvel que se encontra em perfeitas condições de uso, mas não é aproveitado. </w:t>
      </w:r>
    </w:p>
    <w:p w14:paraId="542D490D" w14:textId="77777777" w:rsidR="008D341F" w:rsidRPr="00A4759C" w:rsidRDefault="008D341F" w:rsidP="00731B2E">
      <w:pPr>
        <w:spacing w:before="100" w:beforeAutospacing="1" w:after="100" w:afterAutospacing="1" w:line="360" w:lineRule="auto"/>
        <w:ind w:firstLine="360"/>
        <w:jc w:val="both"/>
        <w:rPr>
          <w:rFonts w:ascii="Times New Roman" w:hAnsi="Times New Roman" w:cs="Times New Roman"/>
          <w:b/>
          <w:bCs/>
          <w:sz w:val="22"/>
          <w:szCs w:val="22"/>
        </w:rPr>
      </w:pPr>
      <w:r w:rsidRPr="00A4759C">
        <w:rPr>
          <w:rFonts w:ascii="Times New Roman" w:hAnsi="Times New Roman" w:cs="Times New Roman"/>
          <w:b/>
          <w:sz w:val="22"/>
          <w:szCs w:val="22"/>
        </w:rPr>
        <w:t>Recuperável:</w:t>
      </w:r>
      <w:r w:rsidRPr="00A4759C">
        <w:rPr>
          <w:rFonts w:ascii="Times New Roman" w:hAnsi="Times New Roman" w:cs="Times New Roman"/>
          <w:sz w:val="22"/>
          <w:szCs w:val="22"/>
        </w:rPr>
        <w:t xml:space="preserve"> bem móvel que não se encontra em condições de uso e cujo custo de recuperação seja ate cinquenta por cento do seu valor de mercado ou cuja analise de custo e benefício demonstre ser justificável a sua recuperação. </w:t>
      </w:r>
    </w:p>
    <w:p w14:paraId="6858542F" w14:textId="77777777" w:rsidR="008D341F" w:rsidRPr="00A4759C" w:rsidRDefault="008D341F" w:rsidP="00731B2E">
      <w:pPr>
        <w:spacing w:before="100" w:beforeAutospacing="1" w:after="100" w:afterAutospacing="1" w:line="360" w:lineRule="auto"/>
        <w:ind w:firstLine="360"/>
        <w:jc w:val="both"/>
        <w:rPr>
          <w:rFonts w:ascii="Times New Roman" w:hAnsi="Times New Roman" w:cs="Times New Roman"/>
          <w:b/>
          <w:bCs/>
          <w:sz w:val="22"/>
          <w:szCs w:val="22"/>
        </w:rPr>
      </w:pPr>
      <w:r w:rsidRPr="00A4759C">
        <w:rPr>
          <w:rFonts w:ascii="Times New Roman" w:hAnsi="Times New Roman" w:cs="Times New Roman"/>
          <w:b/>
          <w:sz w:val="22"/>
          <w:szCs w:val="22"/>
        </w:rPr>
        <w:lastRenderedPageBreak/>
        <w:t>Antieconômico:</w:t>
      </w:r>
      <w:r w:rsidRPr="00A4759C">
        <w:rPr>
          <w:rFonts w:ascii="Times New Roman" w:hAnsi="Times New Roman" w:cs="Times New Roman"/>
          <w:sz w:val="22"/>
          <w:szCs w:val="22"/>
        </w:rPr>
        <w:t xml:space="preserve"> bem móvel cuja manutenção seja onerosa ou cujo rendimento seja precário, em virtude de uso prolongado, desgaste prematuro ou obsoletismo.</w:t>
      </w:r>
    </w:p>
    <w:p w14:paraId="1FA26E76" w14:textId="10371B85" w:rsidR="008D341F" w:rsidRPr="00A4759C" w:rsidRDefault="008D341F" w:rsidP="00731B2E">
      <w:pPr>
        <w:spacing w:before="100" w:beforeAutospacing="1" w:after="100" w:afterAutospacing="1" w:line="360" w:lineRule="auto"/>
        <w:ind w:firstLine="360"/>
        <w:jc w:val="both"/>
        <w:rPr>
          <w:rFonts w:ascii="Times New Roman" w:hAnsi="Times New Roman" w:cs="Times New Roman"/>
          <w:sz w:val="22"/>
          <w:szCs w:val="22"/>
          <w:shd w:val="clear" w:color="auto" w:fill="FFFFFF"/>
        </w:rPr>
      </w:pPr>
      <w:r w:rsidRPr="00A4759C">
        <w:rPr>
          <w:rFonts w:ascii="Times New Roman" w:hAnsi="Times New Roman" w:cs="Times New Roman"/>
          <w:b/>
          <w:sz w:val="22"/>
          <w:szCs w:val="22"/>
        </w:rPr>
        <w:t>Irrecuperável:</w:t>
      </w:r>
      <w:r w:rsidRPr="00A4759C">
        <w:rPr>
          <w:rFonts w:ascii="Times New Roman" w:hAnsi="Times New Roman" w:cs="Times New Roman"/>
          <w:sz w:val="22"/>
          <w:szCs w:val="22"/>
        </w:rPr>
        <w:t xml:space="preserve"> </w:t>
      </w:r>
      <w:r w:rsidRPr="00A4759C">
        <w:rPr>
          <w:rFonts w:ascii="Times New Roman" w:hAnsi="Times New Roman" w:cs="Times New Roman"/>
          <w:sz w:val="22"/>
          <w:szCs w:val="22"/>
          <w:shd w:val="clear" w:color="auto" w:fill="FFFFFF"/>
        </w:rPr>
        <w:t xml:space="preserve">bem móvel que não pode ser utilizado para o fim a que se destina devido à perda de suas características ou em razão de ser o seu custo de recuperação mais de </w:t>
      </w:r>
      <w:r w:rsidRPr="00A4759C">
        <w:rPr>
          <w:rFonts w:ascii="Times New Roman" w:hAnsi="Times New Roman" w:cs="Times New Roman"/>
          <w:sz w:val="22"/>
          <w:szCs w:val="22"/>
          <w:shd w:val="clear" w:color="auto" w:fill="FFFFFF"/>
        </w:rPr>
        <w:t>cinquenta</w:t>
      </w:r>
      <w:r w:rsidRPr="00A4759C">
        <w:rPr>
          <w:rFonts w:ascii="Times New Roman" w:hAnsi="Times New Roman" w:cs="Times New Roman"/>
          <w:sz w:val="22"/>
          <w:szCs w:val="22"/>
          <w:shd w:val="clear" w:color="auto" w:fill="FFFFFF"/>
        </w:rPr>
        <w:t xml:space="preserve"> por cento do seu valor de mercado ou de a análise do seu custo e benefício demonstrar ser injustificável a sua recuperação.</w:t>
      </w:r>
    </w:p>
    <w:p w14:paraId="36A35250" w14:textId="77777777" w:rsidR="008D341F" w:rsidRPr="00A4759C" w:rsidRDefault="008D341F"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No caso em tela, há o entendimento de que os requerentes estão solicitando bens “ociosos”, ou seja, aqueles bens que estão sem uso pelo Poder Legislativo em virtude da ociosidade, porém podem ser utilizados por outros órgãos.</w:t>
      </w:r>
    </w:p>
    <w:p w14:paraId="329985A1" w14:textId="7F21A9E8" w:rsidR="008D341F" w:rsidRPr="00A4759C" w:rsidRDefault="008D341F" w:rsidP="00731B2E">
      <w:pPr>
        <w:pStyle w:val="PargrafodaLista"/>
        <w:numPr>
          <w:ilvl w:val="1"/>
          <w:numId w:val="7"/>
        </w:numPr>
        <w:spacing w:before="100" w:beforeAutospacing="1" w:after="100" w:afterAutospacing="1" w:line="360" w:lineRule="auto"/>
        <w:jc w:val="both"/>
        <w:rPr>
          <w:rFonts w:ascii="Times New Roman" w:hAnsi="Times New Roman" w:cs="Times New Roman"/>
          <w:b/>
          <w:sz w:val="22"/>
          <w:szCs w:val="22"/>
          <w:shd w:val="clear" w:color="auto" w:fill="FFFFFF"/>
        </w:rPr>
      </w:pPr>
      <w:r w:rsidRPr="00A4759C">
        <w:rPr>
          <w:rFonts w:ascii="Times New Roman" w:hAnsi="Times New Roman" w:cs="Times New Roman"/>
          <w:b/>
          <w:sz w:val="22"/>
          <w:szCs w:val="22"/>
          <w:shd w:val="clear" w:color="auto" w:fill="FFFFFF"/>
        </w:rPr>
        <w:t>PRÉ-REQUISITOS PARA DESFAZIMENTO</w:t>
      </w:r>
    </w:p>
    <w:p w14:paraId="46E52CDB" w14:textId="77777777" w:rsidR="00731B2E" w:rsidRPr="00A4759C" w:rsidRDefault="00731B2E" w:rsidP="00731B2E">
      <w:pPr>
        <w:pStyle w:val="PargrafodaLista"/>
        <w:spacing w:before="100" w:beforeAutospacing="1" w:after="100" w:afterAutospacing="1" w:line="360" w:lineRule="auto"/>
        <w:ind w:left="360"/>
        <w:jc w:val="both"/>
        <w:rPr>
          <w:rFonts w:ascii="Times New Roman" w:hAnsi="Times New Roman" w:cs="Times New Roman"/>
          <w:b/>
          <w:sz w:val="22"/>
          <w:szCs w:val="22"/>
          <w:shd w:val="clear" w:color="auto" w:fill="FFFFFF"/>
        </w:rPr>
      </w:pPr>
    </w:p>
    <w:p w14:paraId="46A83EAA" w14:textId="6A0ED6FD" w:rsidR="008D341F" w:rsidRPr="00A4759C" w:rsidRDefault="008D341F"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shd w:val="clear" w:color="auto" w:fill="FFFFFF"/>
        </w:rPr>
      </w:pPr>
      <w:r w:rsidRPr="00A4759C">
        <w:rPr>
          <w:rFonts w:ascii="Times New Roman" w:hAnsi="Times New Roman" w:cs="Times New Roman"/>
          <w:sz w:val="22"/>
          <w:szCs w:val="22"/>
          <w:shd w:val="clear" w:color="auto" w:fill="FFFFFF"/>
        </w:rPr>
        <w:t xml:space="preserve">Classificação do bem como </w:t>
      </w:r>
      <w:r w:rsidRPr="00A4759C">
        <w:rPr>
          <w:rFonts w:ascii="Times New Roman" w:hAnsi="Times New Roman" w:cs="Times New Roman"/>
          <w:sz w:val="22"/>
          <w:szCs w:val="22"/>
          <w:shd w:val="clear" w:color="auto" w:fill="FFFFFF"/>
        </w:rPr>
        <w:t>inserível</w:t>
      </w:r>
      <w:r w:rsidRPr="00A4759C">
        <w:rPr>
          <w:rFonts w:ascii="Times New Roman" w:hAnsi="Times New Roman" w:cs="Times New Roman"/>
          <w:sz w:val="22"/>
          <w:szCs w:val="22"/>
          <w:shd w:val="clear" w:color="auto" w:fill="FFFFFF"/>
        </w:rPr>
        <w:t xml:space="preserve">, conforme Decreto </w:t>
      </w:r>
      <w:r w:rsidRPr="00A4759C">
        <w:rPr>
          <w:rFonts w:ascii="Times New Roman" w:hAnsi="Times New Roman" w:cs="Times New Roman"/>
          <w:sz w:val="22"/>
          <w:szCs w:val="22"/>
          <w:shd w:val="clear" w:color="auto" w:fill="FFFFFF"/>
        </w:rPr>
        <w:t xml:space="preserve">Federal nº </w:t>
      </w:r>
      <w:r w:rsidRPr="00A4759C">
        <w:rPr>
          <w:rFonts w:ascii="Times New Roman" w:hAnsi="Times New Roman" w:cs="Times New Roman"/>
          <w:sz w:val="22"/>
          <w:szCs w:val="22"/>
          <w:shd w:val="clear" w:color="auto" w:fill="FFFFFF"/>
        </w:rPr>
        <w:t>9.373/18</w:t>
      </w:r>
      <w:r w:rsidRPr="00A4759C">
        <w:rPr>
          <w:rFonts w:ascii="Times New Roman" w:hAnsi="Times New Roman" w:cs="Times New Roman"/>
          <w:sz w:val="22"/>
          <w:szCs w:val="22"/>
          <w:shd w:val="clear" w:color="auto" w:fill="FFFFFF"/>
        </w:rPr>
        <w:t>, uma vez que não possuímos, no âmbito do Poder Legislativo Municipal, de normativo próprio a respeito do assunto e utilizamos como orientação o normativo Federal a respeito da matéria</w:t>
      </w:r>
      <w:r w:rsidRPr="00A4759C">
        <w:rPr>
          <w:rFonts w:ascii="Times New Roman" w:hAnsi="Times New Roman" w:cs="Times New Roman"/>
          <w:sz w:val="22"/>
          <w:szCs w:val="22"/>
          <w:shd w:val="clear" w:color="auto" w:fill="FFFFFF"/>
        </w:rPr>
        <w:t>;</w:t>
      </w:r>
    </w:p>
    <w:p w14:paraId="3F78DD0B" w14:textId="06CFC882" w:rsidR="008D341F" w:rsidRPr="00A4759C" w:rsidRDefault="008D341F"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shd w:val="clear" w:color="auto" w:fill="FFFFFF"/>
        </w:rPr>
      </w:pPr>
      <w:r w:rsidRPr="00A4759C">
        <w:rPr>
          <w:rFonts w:ascii="Times New Roman" w:hAnsi="Times New Roman" w:cs="Times New Roman"/>
          <w:sz w:val="22"/>
          <w:szCs w:val="22"/>
          <w:shd w:val="clear" w:color="auto" w:fill="FFFFFF"/>
        </w:rPr>
        <w:t>Após classificação o setor responsável faz o levantamento de bens;</w:t>
      </w:r>
    </w:p>
    <w:p w14:paraId="1AC4CE4F" w14:textId="066CD6EE" w:rsidR="008D341F" w:rsidRPr="00A4759C" w:rsidRDefault="008D341F"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shd w:val="clear" w:color="auto" w:fill="FFFFFF"/>
        </w:rPr>
      </w:pPr>
      <w:r w:rsidRPr="00A4759C">
        <w:rPr>
          <w:rFonts w:ascii="Times New Roman" w:hAnsi="Times New Roman" w:cs="Times New Roman"/>
          <w:sz w:val="22"/>
          <w:szCs w:val="22"/>
          <w:shd w:val="clear" w:color="auto" w:fill="FFFFFF"/>
        </w:rPr>
        <w:t xml:space="preserve">Um especialista da área vai avaliar e classificar o bem como: ociosos, recuperáveis, antieconômicos e irrecuperáveis. </w:t>
      </w:r>
    </w:p>
    <w:p w14:paraId="377F56CB" w14:textId="582450FC" w:rsidR="008D341F" w:rsidRPr="00A4759C" w:rsidRDefault="00731B2E" w:rsidP="00731B2E">
      <w:p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shd w:val="clear" w:color="auto" w:fill="FFFFFF"/>
        </w:rPr>
        <w:t xml:space="preserve">3.1.4 </w:t>
      </w:r>
      <w:r w:rsidR="008D341F" w:rsidRPr="00A4759C">
        <w:rPr>
          <w:rFonts w:ascii="Times New Roman" w:hAnsi="Times New Roman" w:cs="Times New Roman"/>
          <w:sz w:val="22"/>
          <w:szCs w:val="22"/>
          <w:shd w:val="clear" w:color="auto" w:fill="FFFFFF"/>
        </w:rPr>
        <w:t>Após avaliar cabe a Comissão de desfazimento a abertura de processo físico e instruir o</w:t>
      </w:r>
      <w:r w:rsidR="00153888" w:rsidRPr="00A4759C">
        <w:rPr>
          <w:rFonts w:ascii="Times New Roman" w:hAnsi="Times New Roman" w:cs="Times New Roman"/>
          <w:sz w:val="22"/>
          <w:szCs w:val="22"/>
          <w:shd w:val="clear" w:color="auto" w:fill="FFFFFF"/>
        </w:rPr>
        <w:t>s</w:t>
      </w:r>
      <w:r w:rsidR="008D341F" w:rsidRPr="00A4759C">
        <w:rPr>
          <w:rFonts w:ascii="Times New Roman" w:hAnsi="Times New Roman" w:cs="Times New Roman"/>
          <w:sz w:val="22"/>
          <w:szCs w:val="22"/>
          <w:shd w:val="clear" w:color="auto" w:fill="FFFFFF"/>
        </w:rPr>
        <w:t xml:space="preserve"> processos conforme sua classificação.</w:t>
      </w:r>
      <w:r w:rsidR="008D341F" w:rsidRPr="00A4759C">
        <w:rPr>
          <w:rFonts w:ascii="Times New Roman" w:hAnsi="Times New Roman" w:cs="Times New Roman"/>
          <w:sz w:val="22"/>
          <w:szCs w:val="22"/>
        </w:rPr>
        <w:t xml:space="preserve"> </w:t>
      </w:r>
    </w:p>
    <w:p w14:paraId="5A38D4B4" w14:textId="202F79CA" w:rsidR="0066187D" w:rsidRPr="00A4759C" w:rsidRDefault="0066187D" w:rsidP="00731B2E">
      <w:pPr>
        <w:pStyle w:val="PargrafodaLista"/>
        <w:numPr>
          <w:ilvl w:val="1"/>
          <w:numId w:val="7"/>
        </w:numPr>
        <w:spacing w:before="100" w:beforeAutospacing="1" w:after="100" w:afterAutospacing="1" w:line="360" w:lineRule="auto"/>
        <w:jc w:val="both"/>
        <w:rPr>
          <w:rFonts w:ascii="Times New Roman" w:hAnsi="Times New Roman" w:cs="Times New Roman"/>
          <w:b/>
          <w:sz w:val="22"/>
          <w:szCs w:val="22"/>
          <w:shd w:val="clear" w:color="auto" w:fill="FFFFFF"/>
        </w:rPr>
      </w:pPr>
      <w:r w:rsidRPr="00A4759C">
        <w:rPr>
          <w:rFonts w:ascii="Times New Roman" w:hAnsi="Times New Roman" w:cs="Times New Roman"/>
          <w:b/>
          <w:sz w:val="22"/>
          <w:szCs w:val="22"/>
          <w:shd w:val="clear" w:color="auto" w:fill="FFFFFF"/>
        </w:rPr>
        <w:t>COMPOSIÇÃO DO PROCESSO DE DESFAZIMENTO</w:t>
      </w:r>
    </w:p>
    <w:p w14:paraId="5144EB03" w14:textId="1894AB0B"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Portaria de designação da comissão de desfazimento;</w:t>
      </w:r>
    </w:p>
    <w:p w14:paraId="5BF8A1F6" w14:textId="5CD96D85"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Relação dos bens para desfazimento;</w:t>
      </w:r>
    </w:p>
    <w:p w14:paraId="6C6A4C55" w14:textId="1C954D0C"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Laudo de avaliação;</w:t>
      </w:r>
    </w:p>
    <w:p w14:paraId="44FF3D48" w14:textId="11693799"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Justificativa do desfazimento;</w:t>
      </w:r>
    </w:p>
    <w:p w14:paraId="0EDEDC49" w14:textId="792080DA"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Contrato, conforme a modalidade de desfazimento;</w:t>
      </w:r>
    </w:p>
    <w:p w14:paraId="68265A7A" w14:textId="6958F190"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sz w:val="22"/>
          <w:szCs w:val="22"/>
        </w:rPr>
        <w:t>Relação de bens baixados no processo.</w:t>
      </w:r>
    </w:p>
    <w:p w14:paraId="2325FA41" w14:textId="46BBC097" w:rsidR="0066187D" w:rsidRPr="00A4759C" w:rsidRDefault="0066187D" w:rsidP="00731B2E">
      <w:pPr>
        <w:pStyle w:val="PargrafodaLista"/>
        <w:numPr>
          <w:ilvl w:val="2"/>
          <w:numId w:val="7"/>
        </w:numPr>
        <w:spacing w:before="100" w:beforeAutospacing="1" w:after="100" w:afterAutospacing="1" w:line="360" w:lineRule="auto"/>
        <w:jc w:val="both"/>
        <w:rPr>
          <w:rFonts w:ascii="Times New Roman" w:hAnsi="Times New Roman" w:cs="Times New Roman"/>
          <w:b/>
          <w:sz w:val="22"/>
          <w:szCs w:val="22"/>
        </w:rPr>
      </w:pPr>
      <w:r w:rsidRPr="00A4759C">
        <w:rPr>
          <w:rFonts w:ascii="Times New Roman" w:eastAsia="Times New Roman" w:hAnsi="Times New Roman" w:cs="Times New Roman"/>
          <w:sz w:val="22"/>
          <w:szCs w:val="22"/>
          <w:lang w:eastAsia="pt-BR"/>
        </w:rPr>
        <w:t>A gestão</w:t>
      </w:r>
      <w:r w:rsidRPr="00A4759C">
        <w:rPr>
          <w:rFonts w:ascii="Times New Roman" w:eastAsia="Times New Roman" w:hAnsi="Times New Roman" w:cs="Times New Roman"/>
          <w:sz w:val="22"/>
          <w:szCs w:val="22"/>
          <w:lang w:eastAsia="pt-BR"/>
        </w:rPr>
        <w:t xml:space="preserve"> nomear</w:t>
      </w:r>
      <w:r w:rsidRPr="00A4759C">
        <w:rPr>
          <w:rFonts w:ascii="Times New Roman" w:eastAsia="Times New Roman" w:hAnsi="Times New Roman" w:cs="Times New Roman"/>
          <w:sz w:val="22"/>
          <w:szCs w:val="22"/>
          <w:lang w:eastAsia="pt-BR"/>
        </w:rPr>
        <w:t>á</w:t>
      </w:r>
      <w:r w:rsidRPr="00A4759C">
        <w:rPr>
          <w:rFonts w:ascii="Times New Roman" w:eastAsia="Times New Roman" w:hAnsi="Times New Roman" w:cs="Times New Roman"/>
          <w:sz w:val="22"/>
          <w:szCs w:val="22"/>
          <w:lang w:eastAsia="pt-BR"/>
        </w:rPr>
        <w:t xml:space="preserve"> servidores para formação da Comissão de Desfazimento de bens.</w:t>
      </w:r>
    </w:p>
    <w:p w14:paraId="51B80B16" w14:textId="0F479285" w:rsidR="00124931" w:rsidRPr="00A4759C" w:rsidRDefault="00124931" w:rsidP="00731B2E">
      <w:pPr>
        <w:pStyle w:val="PargrafodaLista"/>
        <w:numPr>
          <w:ilvl w:val="2"/>
          <w:numId w:val="7"/>
        </w:numPr>
        <w:spacing w:before="100" w:beforeAutospacing="1" w:after="100" w:afterAutospacing="1" w:line="360" w:lineRule="auto"/>
        <w:jc w:val="both"/>
        <w:rPr>
          <w:rFonts w:ascii="Times New Roman" w:hAnsi="Times New Roman" w:cs="Times New Roman"/>
          <w:b/>
          <w:sz w:val="22"/>
          <w:szCs w:val="22"/>
        </w:rPr>
      </w:pPr>
      <w:r w:rsidRPr="00A4759C">
        <w:rPr>
          <w:rFonts w:ascii="Times New Roman" w:eastAsia="Times New Roman" w:hAnsi="Times New Roman" w:cs="Times New Roman"/>
          <w:sz w:val="22"/>
          <w:szCs w:val="22"/>
          <w:lang w:eastAsia="pt-BR"/>
        </w:rPr>
        <w:t>Após a realização do inventário anual</w:t>
      </w:r>
      <w:r w:rsidRPr="00A4759C">
        <w:rPr>
          <w:rFonts w:ascii="Times New Roman" w:eastAsia="Times New Roman" w:hAnsi="Times New Roman" w:cs="Times New Roman"/>
          <w:sz w:val="22"/>
          <w:szCs w:val="22"/>
          <w:lang w:eastAsia="pt-BR"/>
        </w:rPr>
        <w:t xml:space="preserve"> ou de processo específico de desfazimento</w:t>
      </w:r>
      <w:r w:rsidRPr="00A4759C">
        <w:rPr>
          <w:rFonts w:ascii="Times New Roman" w:eastAsia="Times New Roman" w:hAnsi="Times New Roman" w:cs="Times New Roman"/>
          <w:sz w:val="22"/>
          <w:szCs w:val="22"/>
          <w:lang w:eastAsia="pt-BR"/>
        </w:rPr>
        <w:t xml:space="preserve"> (realizado por comissão específica), do qual resultará um levantamento de bens inservíveis, o Coordenador de Patrimônio deverá somar todos os bens classificados como inservíveis em uma única relação, </w:t>
      </w:r>
      <w:r w:rsidRPr="00A4759C">
        <w:rPr>
          <w:rFonts w:ascii="Times New Roman" w:eastAsia="Times New Roman" w:hAnsi="Times New Roman" w:cs="Times New Roman"/>
          <w:sz w:val="22"/>
          <w:szCs w:val="22"/>
          <w:lang w:eastAsia="pt-BR"/>
        </w:rPr>
        <w:t>classificando-os</w:t>
      </w:r>
      <w:r w:rsidRPr="00A4759C">
        <w:rPr>
          <w:rFonts w:ascii="Times New Roman" w:eastAsia="Times New Roman" w:hAnsi="Times New Roman" w:cs="Times New Roman"/>
          <w:sz w:val="22"/>
          <w:szCs w:val="22"/>
          <w:lang w:eastAsia="pt-BR"/>
        </w:rPr>
        <w:t>;</w:t>
      </w:r>
    </w:p>
    <w:p w14:paraId="725788BF" w14:textId="7CDF3B15" w:rsidR="0066187D" w:rsidRPr="00A4759C" w:rsidRDefault="00124931" w:rsidP="00731B2E">
      <w:pPr>
        <w:pStyle w:val="PargrafodaLista"/>
        <w:numPr>
          <w:ilvl w:val="2"/>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eastAsia="Times New Roman" w:hAnsi="Times New Roman" w:cs="Times New Roman"/>
          <w:sz w:val="22"/>
          <w:szCs w:val="22"/>
          <w:lang w:eastAsia="pt-BR"/>
        </w:rPr>
        <w:lastRenderedPageBreak/>
        <w:t>Em relação àqueles dos quais</w:t>
      </w:r>
      <w:r w:rsidRPr="00A4759C">
        <w:rPr>
          <w:rFonts w:ascii="Times New Roman" w:eastAsia="Times New Roman" w:hAnsi="Times New Roman" w:cs="Times New Roman"/>
          <w:sz w:val="22"/>
          <w:szCs w:val="22"/>
          <w:lang w:eastAsia="pt-BR"/>
        </w:rPr>
        <w:t xml:space="preserve"> não</w:t>
      </w:r>
      <w:r w:rsidRPr="00A4759C">
        <w:rPr>
          <w:rFonts w:ascii="Times New Roman" w:eastAsia="Times New Roman" w:hAnsi="Times New Roman" w:cs="Times New Roman"/>
          <w:sz w:val="22"/>
          <w:szCs w:val="22"/>
          <w:lang w:eastAsia="pt-BR"/>
        </w:rPr>
        <w:t xml:space="preserve"> houver interesse na reutilização</w:t>
      </w:r>
      <w:r w:rsidRPr="00A4759C">
        <w:rPr>
          <w:rFonts w:ascii="Times New Roman" w:eastAsia="Times New Roman" w:hAnsi="Times New Roman" w:cs="Times New Roman"/>
          <w:sz w:val="22"/>
          <w:szCs w:val="22"/>
          <w:lang w:eastAsia="pt-BR"/>
        </w:rPr>
        <w:t xml:space="preserve"> (ociosos)</w:t>
      </w:r>
      <w:r w:rsidRPr="00A4759C">
        <w:rPr>
          <w:rFonts w:ascii="Times New Roman" w:eastAsia="Times New Roman" w:hAnsi="Times New Roman" w:cs="Times New Roman"/>
          <w:sz w:val="22"/>
          <w:szCs w:val="22"/>
          <w:lang w:eastAsia="pt-BR"/>
        </w:rPr>
        <w:t xml:space="preserve">, emite-se termo de responsabilidade </w:t>
      </w:r>
      <w:r w:rsidRPr="00A4759C">
        <w:rPr>
          <w:rFonts w:ascii="Times New Roman" w:eastAsia="Times New Roman" w:hAnsi="Times New Roman" w:cs="Times New Roman"/>
          <w:sz w:val="22"/>
          <w:szCs w:val="22"/>
          <w:lang w:eastAsia="pt-BR"/>
        </w:rPr>
        <w:t>do gestor</w:t>
      </w:r>
      <w:r w:rsidRPr="00A4759C">
        <w:rPr>
          <w:rFonts w:ascii="Times New Roman" w:eastAsia="Times New Roman" w:hAnsi="Times New Roman" w:cs="Times New Roman"/>
          <w:sz w:val="22"/>
          <w:szCs w:val="22"/>
          <w:lang w:eastAsia="pt-BR"/>
        </w:rPr>
        <w:t xml:space="preserve">, e libera-se o bem para </w:t>
      </w:r>
      <w:r w:rsidRPr="00A4759C">
        <w:rPr>
          <w:rFonts w:ascii="Times New Roman" w:eastAsia="Times New Roman" w:hAnsi="Times New Roman" w:cs="Times New Roman"/>
          <w:sz w:val="22"/>
          <w:szCs w:val="22"/>
          <w:lang w:eastAsia="pt-BR"/>
        </w:rPr>
        <w:t>doação.</w:t>
      </w:r>
    </w:p>
    <w:p w14:paraId="1F870CD1" w14:textId="77777777" w:rsidR="00731B2E" w:rsidRPr="00A4759C" w:rsidRDefault="00731B2E" w:rsidP="00731B2E">
      <w:pPr>
        <w:pStyle w:val="PargrafodaLista"/>
        <w:spacing w:before="100" w:beforeAutospacing="1" w:after="100" w:afterAutospacing="1" w:line="360" w:lineRule="auto"/>
        <w:jc w:val="both"/>
        <w:rPr>
          <w:rFonts w:ascii="Times New Roman" w:hAnsi="Times New Roman" w:cs="Times New Roman"/>
          <w:sz w:val="22"/>
          <w:szCs w:val="22"/>
        </w:rPr>
      </w:pPr>
    </w:p>
    <w:p w14:paraId="31C27FBE" w14:textId="3B307549" w:rsidR="00124931" w:rsidRPr="00A4759C" w:rsidRDefault="00124931" w:rsidP="00731B2E">
      <w:pPr>
        <w:pStyle w:val="PargrafodaLista"/>
        <w:numPr>
          <w:ilvl w:val="0"/>
          <w:numId w:val="7"/>
        </w:numPr>
        <w:spacing w:before="100" w:beforeAutospacing="1" w:after="100" w:afterAutospacing="1" w:line="360" w:lineRule="auto"/>
        <w:jc w:val="both"/>
        <w:rPr>
          <w:rFonts w:ascii="Times New Roman" w:hAnsi="Times New Roman" w:cs="Times New Roman"/>
          <w:sz w:val="22"/>
          <w:szCs w:val="22"/>
        </w:rPr>
      </w:pPr>
      <w:r w:rsidRPr="00A4759C">
        <w:rPr>
          <w:rFonts w:ascii="Times New Roman" w:hAnsi="Times New Roman" w:cs="Times New Roman"/>
          <w:b/>
          <w:sz w:val="22"/>
          <w:szCs w:val="22"/>
        </w:rPr>
        <w:t>FORMAS DE DESFAZIMENTO DE BENS PÚBLICOS.</w:t>
      </w:r>
    </w:p>
    <w:p w14:paraId="4284E8C5" w14:textId="6B3317C4" w:rsidR="00124931" w:rsidRPr="00A4759C" w:rsidRDefault="00124931" w:rsidP="00731B2E">
      <w:pPr>
        <w:spacing w:before="100" w:beforeAutospacing="1" w:after="100" w:afterAutospacing="1" w:line="360" w:lineRule="auto"/>
        <w:ind w:firstLine="357"/>
        <w:jc w:val="both"/>
        <w:rPr>
          <w:rFonts w:ascii="Times New Roman" w:hAnsi="Times New Roman" w:cs="Times New Roman"/>
          <w:sz w:val="22"/>
          <w:szCs w:val="22"/>
        </w:rPr>
      </w:pPr>
      <w:r w:rsidRPr="00A4759C">
        <w:rPr>
          <w:rFonts w:ascii="Times New Roman" w:hAnsi="Times New Roman" w:cs="Times New Roman"/>
          <w:sz w:val="22"/>
          <w:szCs w:val="22"/>
        </w:rPr>
        <w:t>Depois de realizado o inventário por comissão específica, esta poderá detectar que alguns bens não estão sendo utilizados pel</w:t>
      </w:r>
      <w:r w:rsidR="00731B2E" w:rsidRPr="00A4759C">
        <w:rPr>
          <w:rFonts w:ascii="Times New Roman" w:hAnsi="Times New Roman" w:cs="Times New Roman"/>
          <w:sz w:val="22"/>
          <w:szCs w:val="22"/>
        </w:rPr>
        <w:t>os</w:t>
      </w:r>
      <w:r w:rsidRPr="00A4759C">
        <w:rPr>
          <w:rFonts w:ascii="Times New Roman" w:hAnsi="Times New Roman" w:cs="Times New Roman"/>
          <w:sz w:val="22"/>
          <w:szCs w:val="22"/>
        </w:rPr>
        <w:t xml:space="preserve"> </w:t>
      </w:r>
      <w:r w:rsidR="00731B2E" w:rsidRPr="00A4759C">
        <w:rPr>
          <w:rFonts w:ascii="Times New Roman" w:hAnsi="Times New Roman" w:cs="Times New Roman"/>
          <w:sz w:val="22"/>
          <w:szCs w:val="22"/>
        </w:rPr>
        <w:t>anexos da Casa</w:t>
      </w:r>
      <w:r w:rsidRPr="00A4759C">
        <w:rPr>
          <w:rFonts w:ascii="Times New Roman" w:hAnsi="Times New Roman" w:cs="Times New Roman"/>
          <w:sz w:val="22"/>
          <w:szCs w:val="22"/>
        </w:rPr>
        <w:t>, podendo vir a ter um melhor destino e aproveitamento, que será realizado de acordo com o interesse público e se processará da seguinte forma</w:t>
      </w:r>
      <w:r w:rsidRPr="00A4759C">
        <w:rPr>
          <w:rFonts w:ascii="Times New Roman" w:hAnsi="Times New Roman" w:cs="Times New Roman"/>
          <w:sz w:val="22"/>
          <w:szCs w:val="22"/>
        </w:rPr>
        <w:t xml:space="preserve"> de doação. </w:t>
      </w:r>
    </w:p>
    <w:p w14:paraId="336F5FEE" w14:textId="28868A25" w:rsidR="00124931" w:rsidRPr="00A4759C" w:rsidRDefault="00731B2E" w:rsidP="00731B2E">
      <w:pPr>
        <w:spacing w:before="100" w:beforeAutospacing="1" w:after="100" w:afterAutospacing="1" w:line="360" w:lineRule="auto"/>
        <w:ind w:firstLine="357"/>
        <w:jc w:val="both"/>
        <w:rPr>
          <w:rStyle w:val="nfase"/>
          <w:rFonts w:ascii="Times New Roman" w:hAnsi="Times New Roman" w:cs="Times New Roman"/>
          <w:i w:val="0"/>
          <w:spacing w:val="2"/>
          <w:sz w:val="22"/>
          <w:szCs w:val="22"/>
        </w:rPr>
      </w:pPr>
      <w:r w:rsidRPr="00A4759C">
        <w:rPr>
          <w:rFonts w:ascii="Times New Roman" w:hAnsi="Times New Roman" w:cs="Times New Roman"/>
          <w:sz w:val="22"/>
          <w:szCs w:val="22"/>
        </w:rPr>
        <w:t>Lembrando sempre, s</w:t>
      </w:r>
      <w:r w:rsidR="00124931" w:rsidRPr="00A4759C">
        <w:rPr>
          <w:rStyle w:val="nfase"/>
          <w:rFonts w:ascii="Times New Roman" w:hAnsi="Times New Roman" w:cs="Times New Roman"/>
          <w:i w:val="0"/>
          <w:spacing w:val="2"/>
          <w:sz w:val="22"/>
          <w:szCs w:val="22"/>
        </w:rPr>
        <w:t xml:space="preserve">ão requisitos á doação de bens públicos: autorização legislativa, interesse </w:t>
      </w:r>
      <w:r w:rsidR="00124931" w:rsidRPr="00A4759C">
        <w:rPr>
          <w:rStyle w:val="nfase"/>
          <w:rFonts w:ascii="Times New Roman" w:hAnsi="Times New Roman" w:cs="Times New Roman"/>
          <w:i w:val="0"/>
          <w:spacing w:val="2"/>
          <w:sz w:val="22"/>
          <w:szCs w:val="22"/>
        </w:rPr>
        <w:t>público</w:t>
      </w:r>
      <w:r w:rsidR="00124931" w:rsidRPr="00A4759C">
        <w:rPr>
          <w:rStyle w:val="nfase"/>
          <w:rFonts w:ascii="Times New Roman" w:hAnsi="Times New Roman" w:cs="Times New Roman"/>
          <w:i w:val="0"/>
          <w:spacing w:val="2"/>
          <w:sz w:val="22"/>
          <w:szCs w:val="22"/>
        </w:rPr>
        <w:t xml:space="preserve"> devidamente justificado e avaliação previa. </w:t>
      </w:r>
    </w:p>
    <w:p w14:paraId="435C9D7E" w14:textId="446A4CC1" w:rsidR="008D341F" w:rsidRPr="00A4759C" w:rsidRDefault="00F506BC" w:rsidP="00731B2E">
      <w:pPr>
        <w:pStyle w:val="PargrafodaLista"/>
        <w:numPr>
          <w:ilvl w:val="0"/>
          <w:numId w:val="7"/>
        </w:numPr>
        <w:spacing w:before="100" w:beforeAutospacing="1" w:after="100" w:afterAutospacing="1" w:line="360" w:lineRule="auto"/>
        <w:rPr>
          <w:rFonts w:ascii="Times New Roman" w:hAnsi="Times New Roman" w:cs="Times New Roman"/>
          <w:b/>
          <w:bCs/>
          <w:sz w:val="22"/>
          <w:szCs w:val="22"/>
        </w:rPr>
      </w:pPr>
      <w:r w:rsidRPr="00A4759C">
        <w:rPr>
          <w:rFonts w:ascii="Times New Roman" w:hAnsi="Times New Roman" w:cs="Times New Roman"/>
          <w:b/>
          <w:bCs/>
          <w:sz w:val="22"/>
          <w:szCs w:val="22"/>
        </w:rPr>
        <w:t>CONCLUSÃO</w:t>
      </w:r>
    </w:p>
    <w:p w14:paraId="729C9023" w14:textId="77777777" w:rsidR="00F506BC" w:rsidRPr="00A4759C" w:rsidRDefault="00F506BC" w:rsidP="00731B2E">
      <w:pPr>
        <w:pStyle w:val="PargrafodaLista"/>
        <w:spacing w:before="100" w:beforeAutospacing="1" w:after="100" w:afterAutospacing="1" w:line="360" w:lineRule="auto"/>
        <w:jc w:val="both"/>
        <w:rPr>
          <w:rFonts w:ascii="Times New Roman" w:eastAsia="Times New Roman" w:hAnsi="Times New Roman" w:cs="Times New Roman"/>
          <w:b/>
          <w:bCs/>
          <w:color w:val="333333"/>
          <w:kern w:val="0"/>
          <w:sz w:val="22"/>
          <w:szCs w:val="22"/>
          <w:lang w:eastAsia="pt-BR"/>
          <w14:ligatures w14:val="none"/>
        </w:rPr>
      </w:pPr>
    </w:p>
    <w:p w14:paraId="0A3FB8E6" w14:textId="6AA21FBF" w:rsidR="00731B2E" w:rsidRPr="00A4759C" w:rsidRDefault="00F506BC" w:rsidP="00731B2E">
      <w:pPr>
        <w:pStyle w:val="PargrafodaLista"/>
        <w:spacing w:before="100" w:beforeAutospacing="1" w:after="100" w:afterAutospacing="1" w:line="360" w:lineRule="auto"/>
        <w:ind w:left="0" w:firstLine="426"/>
        <w:jc w:val="both"/>
        <w:rPr>
          <w:rFonts w:ascii="Times New Roman" w:eastAsia="Times New Roman" w:hAnsi="Times New Roman" w:cs="Times New Roman"/>
          <w:color w:val="333333"/>
          <w:kern w:val="0"/>
          <w:sz w:val="22"/>
          <w:szCs w:val="22"/>
          <w:lang w:eastAsia="pt-BR"/>
          <w14:ligatures w14:val="none"/>
        </w:rPr>
      </w:pPr>
      <w:r w:rsidRPr="00A4759C">
        <w:rPr>
          <w:rFonts w:ascii="Times New Roman" w:eastAsia="Times New Roman" w:hAnsi="Times New Roman" w:cs="Times New Roman"/>
          <w:color w:val="333333"/>
          <w:kern w:val="0"/>
          <w:sz w:val="22"/>
          <w:szCs w:val="22"/>
          <w:lang w:eastAsia="pt-BR"/>
          <w14:ligatures w14:val="none"/>
        </w:rPr>
        <w:t>O bem considerado como em condições de desfazimento será classificado em virtude de </w:t>
      </w:r>
      <w:r w:rsidRPr="00A4759C">
        <w:rPr>
          <w:rFonts w:ascii="Times New Roman" w:eastAsia="Times New Roman" w:hAnsi="Times New Roman" w:cs="Times New Roman"/>
          <w:b/>
          <w:bCs/>
          <w:color w:val="333333"/>
          <w:kern w:val="0"/>
          <w:sz w:val="22"/>
          <w:szCs w:val="22"/>
          <w:lang w:eastAsia="pt-BR"/>
          <w14:ligatures w14:val="none"/>
        </w:rPr>
        <w:t>ociosidade</w:t>
      </w:r>
      <w:r w:rsidRPr="00A4759C">
        <w:rPr>
          <w:rFonts w:ascii="Times New Roman" w:eastAsia="Times New Roman" w:hAnsi="Times New Roman" w:cs="Times New Roman"/>
          <w:color w:val="333333"/>
          <w:kern w:val="0"/>
          <w:sz w:val="22"/>
          <w:szCs w:val="22"/>
          <w:lang w:eastAsia="pt-BR"/>
          <w14:ligatures w14:val="none"/>
        </w:rPr>
        <w:t>, quando, embora em condições perfeitas de uso, não estiver sendo aproveitado</w:t>
      </w:r>
      <w:r w:rsidR="00731B2E" w:rsidRPr="00A4759C">
        <w:rPr>
          <w:rFonts w:ascii="Times New Roman" w:eastAsia="Times New Roman" w:hAnsi="Times New Roman" w:cs="Times New Roman"/>
          <w:color w:val="333333"/>
          <w:kern w:val="0"/>
          <w:sz w:val="22"/>
          <w:szCs w:val="22"/>
          <w:lang w:eastAsia="pt-BR"/>
          <w14:ligatures w14:val="none"/>
        </w:rPr>
        <w:t>,</w:t>
      </w:r>
      <w:r w:rsidR="00731B2E" w:rsidRPr="00A4759C">
        <w:rPr>
          <w:rFonts w:ascii="Times New Roman" w:eastAsia="Times New Roman" w:hAnsi="Times New Roman" w:cs="Times New Roman"/>
          <w:color w:val="333333"/>
          <w:kern w:val="0"/>
          <w:sz w:val="22"/>
          <w:szCs w:val="22"/>
          <w:lang w:eastAsia="pt-BR"/>
          <w14:ligatures w14:val="none"/>
        </w:rPr>
        <w:t xml:space="preserve"> poderá entrar em processo de desfazimento.</w:t>
      </w:r>
    </w:p>
    <w:p w14:paraId="157F9F6F" w14:textId="652E1A4C"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 xml:space="preserve">A Lei restringe a dispensa de licitação para a doação a casos de interesse social. Qualquer doação de bem público pressupõe interesse público. Por óbvio, não se admite liberalidade à custa do patrimônio público. A regra legal impõe à Administração que verifique se a doação consiste na melhor opção, inclusive para evitar a manutenção de concepções paternalistas acerca do Estado. </w:t>
      </w:r>
    </w:p>
    <w:p w14:paraId="527E7E0B" w14:textId="77777777"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Com essa delineação, é razoável que os bens obsoletos e inservíveis sejam, primeiro, oferecidos aos demais órgãos da Administração Pública Municipal e só, num segundo plano, ofertados a entidades particulares de interesse público.</w:t>
      </w:r>
    </w:p>
    <w:p w14:paraId="59B64CE1" w14:textId="77777777"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Lembre ao consulente que a doação de bens públicos, para ter eficácia no Direito Administrativo, exige a satisfação de requisitos próprios para a sua efetivação.</w:t>
      </w:r>
    </w:p>
    <w:p w14:paraId="41B02842" w14:textId="77777777"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Como se vê, cuidando-se de bens do patrimônio público, o administrador deles não pode dispor ao seu talante; é imprescindível que ele percorra todo o caminho traçado pela lei, sob pena de burla ao princípio da legalidade.</w:t>
      </w:r>
    </w:p>
    <w:p w14:paraId="1E05419F" w14:textId="65A83754"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Portanto,</w:t>
      </w:r>
      <w:r w:rsidRPr="00A4759C">
        <w:rPr>
          <w:rFonts w:ascii="Times New Roman" w:hAnsi="Times New Roman" w:cs="Times New Roman"/>
          <w:sz w:val="22"/>
          <w:szCs w:val="22"/>
        </w:rPr>
        <w:t xml:space="preserve"> convalidado o que já fora dito neste parecer, </w:t>
      </w:r>
      <w:r w:rsidRPr="00A4759C">
        <w:rPr>
          <w:rFonts w:ascii="Times New Roman" w:hAnsi="Times New Roman" w:cs="Times New Roman"/>
          <w:sz w:val="22"/>
          <w:szCs w:val="22"/>
        </w:rPr>
        <w:t xml:space="preserve">a doação de bens móveis encontra-se sujeita aos seguintes requisitos legais: existência de interesse público exaustivamente justificado, </w:t>
      </w:r>
      <w:r w:rsidRPr="00A4759C">
        <w:rPr>
          <w:rFonts w:ascii="Times New Roman" w:hAnsi="Times New Roman" w:cs="Times New Roman"/>
          <w:sz w:val="22"/>
          <w:szCs w:val="22"/>
        </w:rPr>
        <w:lastRenderedPageBreak/>
        <w:t>avaliação e licitação, sendo esta dispensada quando os fins e a utilização têm interesse social. Não poderá, pois, ser realizada em proveito pessoal ou particular.</w:t>
      </w:r>
    </w:p>
    <w:p w14:paraId="5C5AEF71" w14:textId="77777777" w:rsidR="00A4759C" w:rsidRPr="00A4759C" w:rsidRDefault="00A4759C" w:rsidP="00A4759C">
      <w:pPr>
        <w:spacing w:before="100" w:beforeAutospacing="1" w:after="100" w:afterAutospacing="1" w:line="360" w:lineRule="auto"/>
        <w:ind w:firstLine="426"/>
        <w:jc w:val="both"/>
        <w:rPr>
          <w:rFonts w:ascii="Times New Roman" w:hAnsi="Times New Roman" w:cs="Times New Roman"/>
          <w:sz w:val="22"/>
          <w:szCs w:val="22"/>
        </w:rPr>
      </w:pPr>
      <w:r w:rsidRPr="00A4759C">
        <w:rPr>
          <w:rFonts w:ascii="Times New Roman" w:hAnsi="Times New Roman" w:cs="Times New Roman"/>
          <w:sz w:val="22"/>
          <w:szCs w:val="22"/>
        </w:rPr>
        <w:t>Ressal</w:t>
      </w:r>
      <w:r w:rsidRPr="00A4759C">
        <w:rPr>
          <w:rFonts w:ascii="Times New Roman" w:hAnsi="Times New Roman" w:cs="Times New Roman"/>
          <w:sz w:val="22"/>
          <w:szCs w:val="22"/>
        </w:rPr>
        <w:t>te-se, por último,</w:t>
      </w:r>
      <w:r w:rsidRPr="00A4759C">
        <w:rPr>
          <w:rFonts w:ascii="Times New Roman" w:hAnsi="Times New Roman" w:cs="Times New Roman"/>
          <w:sz w:val="22"/>
          <w:szCs w:val="22"/>
        </w:rPr>
        <w:t xml:space="preserve"> </w:t>
      </w:r>
      <w:r w:rsidRPr="00A4759C">
        <w:rPr>
          <w:rFonts w:ascii="Times New Roman" w:hAnsi="Times New Roman" w:cs="Times New Roman"/>
          <w:sz w:val="22"/>
          <w:szCs w:val="22"/>
        </w:rPr>
        <w:t>a necessidade da Comissão lavrar</w:t>
      </w:r>
      <w:r w:rsidRPr="00A4759C">
        <w:rPr>
          <w:rFonts w:ascii="Times New Roman" w:hAnsi="Times New Roman" w:cs="Times New Roman"/>
          <w:sz w:val="22"/>
          <w:szCs w:val="22"/>
        </w:rPr>
        <w:t> </w:t>
      </w:r>
      <w:r w:rsidRPr="00A4759C">
        <w:rPr>
          <w:rFonts w:ascii="Times New Roman" w:hAnsi="Times New Roman" w:cs="Times New Roman"/>
          <w:b/>
          <w:bCs/>
          <w:sz w:val="22"/>
          <w:szCs w:val="22"/>
        </w:rPr>
        <w:t>Termo Próprio</w:t>
      </w:r>
      <w:r w:rsidRPr="00A4759C">
        <w:rPr>
          <w:rFonts w:ascii="Times New Roman" w:hAnsi="Times New Roman" w:cs="Times New Roman"/>
          <w:sz w:val="22"/>
          <w:szCs w:val="22"/>
        </w:rPr>
        <w:t xml:space="preserve">  para a realização das baixas contábeis e patrimoniais dos bens </w:t>
      </w:r>
      <w:r w:rsidRPr="00A4759C">
        <w:rPr>
          <w:rFonts w:ascii="Times New Roman" w:hAnsi="Times New Roman" w:cs="Times New Roman"/>
          <w:sz w:val="22"/>
          <w:szCs w:val="22"/>
        </w:rPr>
        <w:t>do</w:t>
      </w:r>
      <w:r w:rsidRPr="00A4759C">
        <w:rPr>
          <w:rFonts w:ascii="Times New Roman" w:hAnsi="Times New Roman" w:cs="Times New Roman"/>
          <w:b/>
          <w:bCs/>
          <w:sz w:val="22"/>
          <w:szCs w:val="22"/>
        </w:rPr>
        <w:t xml:space="preserve"> doador</w:t>
      </w:r>
      <w:r w:rsidRPr="00A4759C">
        <w:rPr>
          <w:rFonts w:ascii="Times New Roman" w:hAnsi="Times New Roman" w:cs="Times New Roman"/>
          <w:sz w:val="22"/>
          <w:szCs w:val="22"/>
        </w:rPr>
        <w:t> e as incorporações contábeis e patrimoniais nos registros do </w:t>
      </w:r>
      <w:r w:rsidRPr="00A4759C">
        <w:rPr>
          <w:rFonts w:ascii="Times New Roman" w:hAnsi="Times New Roman" w:cs="Times New Roman"/>
          <w:sz w:val="22"/>
          <w:szCs w:val="22"/>
        </w:rPr>
        <w:t xml:space="preserve"> </w:t>
      </w:r>
      <w:r w:rsidRPr="00A4759C">
        <w:rPr>
          <w:rFonts w:ascii="Times New Roman" w:hAnsi="Times New Roman" w:cs="Times New Roman"/>
          <w:b/>
          <w:bCs/>
          <w:sz w:val="22"/>
          <w:szCs w:val="22"/>
        </w:rPr>
        <w:t>donatário</w:t>
      </w:r>
      <w:r w:rsidRPr="00A4759C">
        <w:rPr>
          <w:rFonts w:ascii="Times New Roman" w:hAnsi="Times New Roman" w:cs="Times New Roman"/>
          <w:sz w:val="22"/>
          <w:szCs w:val="22"/>
        </w:rPr>
        <w:t>.</w:t>
      </w:r>
    </w:p>
    <w:p w14:paraId="56DFDD00" w14:textId="42CAAF01" w:rsidR="00F506BC" w:rsidRPr="00A4759C" w:rsidRDefault="00731B2E"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Retorne o Presente Processo ao Gabinete da Presid</w:t>
      </w:r>
      <w:r w:rsidR="00A4759C" w:rsidRPr="00A4759C">
        <w:rPr>
          <w:rFonts w:ascii="Times New Roman" w:hAnsi="Times New Roman" w:cs="Times New Roman"/>
          <w:sz w:val="22"/>
          <w:szCs w:val="22"/>
        </w:rPr>
        <w:t>ência</w:t>
      </w:r>
      <w:r w:rsidRPr="00A4759C">
        <w:rPr>
          <w:rFonts w:ascii="Times New Roman" w:hAnsi="Times New Roman" w:cs="Times New Roman"/>
          <w:sz w:val="22"/>
          <w:szCs w:val="22"/>
        </w:rPr>
        <w:t xml:space="preserve"> para as providências que julgar necessárias, dentre as elencadas.</w:t>
      </w:r>
    </w:p>
    <w:p w14:paraId="4538ED23" w14:textId="4166EB8B"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Este é o meu parecer.</w:t>
      </w:r>
    </w:p>
    <w:p w14:paraId="2088AD24" w14:textId="4B7D2921" w:rsidR="00F506BC" w:rsidRPr="00A4759C" w:rsidRDefault="00F506B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Sa</w:t>
      </w:r>
      <w:r w:rsidR="00731B2E" w:rsidRPr="00A4759C">
        <w:rPr>
          <w:rFonts w:ascii="Times New Roman" w:hAnsi="Times New Roman" w:cs="Times New Roman"/>
          <w:sz w:val="22"/>
          <w:szCs w:val="22"/>
        </w:rPr>
        <w:t>l</w:t>
      </w:r>
      <w:r w:rsidRPr="00A4759C">
        <w:rPr>
          <w:rFonts w:ascii="Times New Roman" w:hAnsi="Times New Roman" w:cs="Times New Roman"/>
          <w:sz w:val="22"/>
          <w:szCs w:val="22"/>
        </w:rPr>
        <w:t>vo</w:t>
      </w:r>
      <w:r w:rsidR="00731B2E" w:rsidRPr="00A4759C">
        <w:rPr>
          <w:rFonts w:ascii="Times New Roman" w:hAnsi="Times New Roman" w:cs="Times New Roman"/>
          <w:sz w:val="22"/>
          <w:szCs w:val="22"/>
        </w:rPr>
        <w:t xml:space="preserve"> melhor Juízo.</w:t>
      </w:r>
    </w:p>
    <w:p w14:paraId="0077B6D6" w14:textId="77777777" w:rsidR="00A4759C" w:rsidRPr="00A4759C" w:rsidRDefault="00A4759C" w:rsidP="00731B2E">
      <w:pPr>
        <w:spacing w:before="100" w:beforeAutospacing="1" w:after="100" w:afterAutospacing="1" w:line="360" w:lineRule="auto"/>
        <w:ind w:firstLine="360"/>
        <w:jc w:val="both"/>
        <w:rPr>
          <w:rFonts w:ascii="Times New Roman" w:hAnsi="Times New Roman" w:cs="Times New Roman"/>
          <w:sz w:val="22"/>
          <w:szCs w:val="22"/>
        </w:rPr>
      </w:pPr>
    </w:p>
    <w:p w14:paraId="28ECED47" w14:textId="30122755" w:rsidR="00A4759C" w:rsidRPr="00A4759C" w:rsidRDefault="00A4759C" w:rsidP="00731B2E">
      <w:pPr>
        <w:spacing w:before="100" w:beforeAutospacing="1" w:after="100" w:afterAutospacing="1" w:line="360" w:lineRule="auto"/>
        <w:ind w:firstLine="360"/>
        <w:jc w:val="both"/>
        <w:rPr>
          <w:rFonts w:ascii="Times New Roman" w:hAnsi="Times New Roman" w:cs="Times New Roman"/>
          <w:sz w:val="22"/>
          <w:szCs w:val="22"/>
        </w:rPr>
      </w:pPr>
      <w:r w:rsidRPr="00A4759C">
        <w:rPr>
          <w:rFonts w:ascii="Times New Roman" w:hAnsi="Times New Roman" w:cs="Times New Roman"/>
          <w:sz w:val="22"/>
          <w:szCs w:val="22"/>
        </w:rPr>
        <w:t>Jardim do Seridó/RN, 21 de janeiro de 2025.</w:t>
      </w:r>
    </w:p>
    <w:p w14:paraId="7E0E3E26" w14:textId="77777777" w:rsidR="00A4759C" w:rsidRPr="00A4759C" w:rsidRDefault="00A4759C" w:rsidP="00A4759C">
      <w:pPr>
        <w:spacing w:before="100" w:beforeAutospacing="1" w:after="100" w:afterAutospacing="1" w:line="360" w:lineRule="auto"/>
        <w:ind w:firstLine="360"/>
        <w:jc w:val="center"/>
        <w:rPr>
          <w:rFonts w:ascii="Times New Roman" w:hAnsi="Times New Roman" w:cs="Times New Roman"/>
          <w:sz w:val="22"/>
          <w:szCs w:val="22"/>
        </w:rPr>
      </w:pPr>
    </w:p>
    <w:p w14:paraId="7757E98A" w14:textId="749E5742" w:rsidR="00A4759C" w:rsidRPr="00A4759C" w:rsidRDefault="00A4759C" w:rsidP="00A4759C">
      <w:pPr>
        <w:spacing w:before="100" w:beforeAutospacing="1" w:after="100" w:afterAutospacing="1" w:line="360" w:lineRule="auto"/>
        <w:ind w:firstLine="360"/>
        <w:jc w:val="center"/>
        <w:rPr>
          <w:rFonts w:ascii="Times New Roman" w:hAnsi="Times New Roman" w:cs="Times New Roman"/>
          <w:sz w:val="22"/>
          <w:szCs w:val="22"/>
        </w:rPr>
      </w:pPr>
      <w:r w:rsidRPr="00A4759C">
        <w:rPr>
          <w:rFonts w:ascii="Times New Roman" w:hAnsi="Times New Roman" w:cs="Times New Roman"/>
          <w:sz w:val="22"/>
          <w:szCs w:val="22"/>
        </w:rPr>
        <w:t>________________________________</w:t>
      </w:r>
    </w:p>
    <w:p w14:paraId="39174A75" w14:textId="1F32A691" w:rsidR="00A4759C" w:rsidRPr="00A4759C" w:rsidRDefault="00A4759C" w:rsidP="00A4759C">
      <w:pPr>
        <w:spacing w:before="100" w:beforeAutospacing="1" w:after="100" w:afterAutospacing="1" w:line="360" w:lineRule="auto"/>
        <w:ind w:firstLine="360"/>
        <w:jc w:val="center"/>
        <w:rPr>
          <w:rFonts w:ascii="Times New Roman" w:hAnsi="Times New Roman" w:cs="Times New Roman"/>
          <w:sz w:val="22"/>
          <w:szCs w:val="22"/>
        </w:rPr>
      </w:pPr>
      <w:r w:rsidRPr="00A4759C">
        <w:rPr>
          <w:rFonts w:ascii="Times New Roman" w:hAnsi="Times New Roman" w:cs="Times New Roman"/>
          <w:sz w:val="22"/>
          <w:szCs w:val="22"/>
        </w:rPr>
        <w:t>Belª Luisiane Morais da Fonseca</w:t>
      </w:r>
    </w:p>
    <w:p w14:paraId="213F2808" w14:textId="1177BDD0" w:rsidR="00A4759C" w:rsidRPr="00A4759C" w:rsidRDefault="00A4759C" w:rsidP="00A4759C">
      <w:pPr>
        <w:spacing w:before="100" w:beforeAutospacing="1" w:after="100" w:afterAutospacing="1" w:line="360" w:lineRule="auto"/>
        <w:ind w:firstLine="360"/>
        <w:jc w:val="center"/>
        <w:rPr>
          <w:rFonts w:ascii="Times New Roman" w:hAnsi="Times New Roman" w:cs="Times New Roman"/>
          <w:sz w:val="22"/>
          <w:szCs w:val="22"/>
        </w:rPr>
      </w:pPr>
      <w:r w:rsidRPr="00A4759C">
        <w:rPr>
          <w:rFonts w:ascii="Times New Roman" w:hAnsi="Times New Roman" w:cs="Times New Roman"/>
          <w:sz w:val="22"/>
          <w:szCs w:val="22"/>
        </w:rPr>
        <w:t>OAB/RN 5213</w:t>
      </w:r>
    </w:p>
    <w:p w14:paraId="55459BC6" w14:textId="1B524089" w:rsidR="00A4759C" w:rsidRPr="00A4759C" w:rsidRDefault="00A4759C" w:rsidP="00A4759C">
      <w:pPr>
        <w:spacing w:before="100" w:beforeAutospacing="1" w:after="100" w:afterAutospacing="1" w:line="360" w:lineRule="auto"/>
        <w:ind w:firstLine="360"/>
        <w:jc w:val="center"/>
        <w:rPr>
          <w:rFonts w:ascii="Times New Roman" w:hAnsi="Times New Roman" w:cs="Times New Roman"/>
          <w:sz w:val="22"/>
          <w:szCs w:val="22"/>
        </w:rPr>
      </w:pPr>
      <w:r w:rsidRPr="00A4759C">
        <w:rPr>
          <w:rFonts w:ascii="Times New Roman" w:hAnsi="Times New Roman" w:cs="Times New Roman"/>
          <w:sz w:val="22"/>
          <w:szCs w:val="22"/>
        </w:rPr>
        <w:t>Procuradora</w:t>
      </w:r>
    </w:p>
    <w:p w14:paraId="3A791745" w14:textId="77777777" w:rsidR="00F506BC" w:rsidRPr="00A4759C" w:rsidRDefault="00F506BC" w:rsidP="00A4759C">
      <w:pPr>
        <w:spacing w:before="100" w:beforeAutospacing="1" w:after="100" w:afterAutospacing="1" w:line="360" w:lineRule="auto"/>
        <w:ind w:firstLine="360"/>
        <w:jc w:val="center"/>
        <w:rPr>
          <w:rFonts w:ascii="Times New Roman" w:hAnsi="Times New Roman" w:cs="Times New Roman"/>
          <w:sz w:val="22"/>
          <w:szCs w:val="22"/>
        </w:rPr>
      </w:pPr>
    </w:p>
    <w:p w14:paraId="144992F9" w14:textId="14BBC1F5" w:rsidR="008D341F" w:rsidRPr="00A4759C" w:rsidRDefault="008D341F" w:rsidP="00731B2E">
      <w:pPr>
        <w:spacing w:before="100" w:beforeAutospacing="1" w:after="100" w:afterAutospacing="1" w:line="360" w:lineRule="auto"/>
        <w:rPr>
          <w:rFonts w:ascii="Times New Roman" w:hAnsi="Times New Roman" w:cs="Times New Roman"/>
          <w:sz w:val="22"/>
          <w:szCs w:val="22"/>
        </w:rPr>
      </w:pPr>
    </w:p>
    <w:p w14:paraId="18DF1305" w14:textId="77777777" w:rsidR="008D341F" w:rsidRPr="00A4759C" w:rsidRDefault="008D341F" w:rsidP="00731B2E">
      <w:pPr>
        <w:spacing w:before="100" w:beforeAutospacing="1" w:after="100" w:afterAutospacing="1" w:line="360" w:lineRule="auto"/>
        <w:rPr>
          <w:rFonts w:ascii="Times New Roman" w:hAnsi="Times New Roman" w:cs="Times New Roman"/>
          <w:sz w:val="22"/>
          <w:szCs w:val="22"/>
        </w:rPr>
      </w:pPr>
    </w:p>
    <w:p w14:paraId="555348BC" w14:textId="77777777" w:rsidR="008D341F" w:rsidRPr="00A4759C" w:rsidRDefault="008D341F" w:rsidP="00731B2E">
      <w:pPr>
        <w:spacing w:before="100" w:beforeAutospacing="1" w:after="100" w:afterAutospacing="1" w:line="360" w:lineRule="auto"/>
        <w:rPr>
          <w:rFonts w:ascii="Times New Roman" w:hAnsi="Times New Roman" w:cs="Times New Roman"/>
          <w:sz w:val="22"/>
          <w:szCs w:val="22"/>
        </w:rPr>
      </w:pPr>
    </w:p>
    <w:p w14:paraId="41D62CFC" w14:textId="77777777" w:rsidR="008D341F" w:rsidRPr="00A4759C" w:rsidRDefault="008D341F" w:rsidP="00731B2E">
      <w:pPr>
        <w:spacing w:before="100" w:beforeAutospacing="1" w:after="100" w:afterAutospacing="1" w:line="360" w:lineRule="auto"/>
        <w:rPr>
          <w:rFonts w:ascii="Times New Roman" w:hAnsi="Times New Roman" w:cs="Times New Roman"/>
          <w:sz w:val="22"/>
          <w:szCs w:val="22"/>
        </w:rPr>
      </w:pPr>
    </w:p>
    <w:sectPr w:rsidR="008D341F" w:rsidRPr="00A4759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ED01" w14:textId="77777777" w:rsidR="00306889" w:rsidRDefault="00306889" w:rsidP="003E01DE">
      <w:pPr>
        <w:spacing w:after="0" w:line="240" w:lineRule="auto"/>
      </w:pPr>
      <w:r>
        <w:separator/>
      </w:r>
    </w:p>
  </w:endnote>
  <w:endnote w:type="continuationSeparator" w:id="0">
    <w:p w14:paraId="46AEAF7E" w14:textId="77777777" w:rsidR="00306889" w:rsidRDefault="00306889" w:rsidP="003E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3AD8" w14:textId="77777777" w:rsidR="00306889" w:rsidRDefault="00306889" w:rsidP="003E01DE">
      <w:pPr>
        <w:spacing w:after="0" w:line="240" w:lineRule="auto"/>
      </w:pPr>
      <w:r>
        <w:separator/>
      </w:r>
    </w:p>
  </w:footnote>
  <w:footnote w:type="continuationSeparator" w:id="0">
    <w:p w14:paraId="43715993" w14:textId="77777777" w:rsidR="00306889" w:rsidRDefault="00306889" w:rsidP="003E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E968" w14:textId="4AB9AC1C" w:rsidR="003E01DE" w:rsidRDefault="003E01DE">
    <w:pPr>
      <w:pStyle w:val="Cabealho"/>
    </w:pPr>
  </w:p>
  <w:p w14:paraId="2617D239" w14:textId="1DD4C143" w:rsidR="003E01DE" w:rsidRDefault="003E01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A75"/>
    <w:multiLevelType w:val="multilevel"/>
    <w:tmpl w:val="033B2A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41848"/>
    <w:multiLevelType w:val="hybridMultilevel"/>
    <w:tmpl w:val="F662C4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4936E0"/>
    <w:multiLevelType w:val="multilevel"/>
    <w:tmpl w:val="3A4936E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54F3016"/>
    <w:multiLevelType w:val="multilevel"/>
    <w:tmpl w:val="0318332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BB5593"/>
    <w:multiLevelType w:val="multilevel"/>
    <w:tmpl w:val="4CBB55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9C27A7"/>
    <w:multiLevelType w:val="multilevel"/>
    <w:tmpl w:val="509C27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C218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F56FC1"/>
    <w:multiLevelType w:val="multilevel"/>
    <w:tmpl w:val="72F56FC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7C6B65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2311983">
    <w:abstractNumId w:val="1"/>
  </w:num>
  <w:num w:numId="2" w16cid:durableId="756824878">
    <w:abstractNumId w:val="5"/>
  </w:num>
  <w:num w:numId="3" w16cid:durableId="643658757">
    <w:abstractNumId w:val="7"/>
  </w:num>
  <w:num w:numId="4" w16cid:durableId="886264274">
    <w:abstractNumId w:val="2"/>
  </w:num>
  <w:num w:numId="5" w16cid:durableId="684283141">
    <w:abstractNumId w:val="0"/>
  </w:num>
  <w:num w:numId="6" w16cid:durableId="1032145552">
    <w:abstractNumId w:val="4"/>
  </w:num>
  <w:num w:numId="7" w16cid:durableId="398947497">
    <w:abstractNumId w:val="3"/>
  </w:num>
  <w:num w:numId="8" w16cid:durableId="705984392">
    <w:abstractNumId w:val="6"/>
  </w:num>
  <w:num w:numId="9" w16cid:durableId="1940405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D3"/>
    <w:rsid w:val="0001280D"/>
    <w:rsid w:val="00080805"/>
    <w:rsid w:val="00124931"/>
    <w:rsid w:val="00153888"/>
    <w:rsid w:val="001D4BDE"/>
    <w:rsid w:val="00306889"/>
    <w:rsid w:val="003E01DE"/>
    <w:rsid w:val="00467A4E"/>
    <w:rsid w:val="005A2235"/>
    <w:rsid w:val="006571D3"/>
    <w:rsid w:val="0066187D"/>
    <w:rsid w:val="00731B2E"/>
    <w:rsid w:val="008D341F"/>
    <w:rsid w:val="00947103"/>
    <w:rsid w:val="00A4759C"/>
    <w:rsid w:val="00BC242A"/>
    <w:rsid w:val="00BC4DC5"/>
    <w:rsid w:val="00CC5851"/>
    <w:rsid w:val="00E03C15"/>
    <w:rsid w:val="00E56F34"/>
    <w:rsid w:val="00F50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0E7C"/>
  <w15:chartTrackingRefBased/>
  <w15:docId w15:val="{C7B0DCA5-48CF-4AB4-8884-49C2F7B2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5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5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571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571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571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571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571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571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571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71D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571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571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571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571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571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571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571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571D3"/>
    <w:rPr>
      <w:rFonts w:eastAsiaTheme="majorEastAsia" w:cstheme="majorBidi"/>
      <w:color w:val="272727" w:themeColor="text1" w:themeTint="D8"/>
    </w:rPr>
  </w:style>
  <w:style w:type="paragraph" w:styleId="Ttulo">
    <w:name w:val="Title"/>
    <w:basedOn w:val="Normal"/>
    <w:next w:val="Normal"/>
    <w:link w:val="TtuloChar"/>
    <w:uiPriority w:val="10"/>
    <w:qFormat/>
    <w:rsid w:val="0065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571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571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571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571D3"/>
    <w:pPr>
      <w:spacing w:before="160"/>
      <w:jc w:val="center"/>
    </w:pPr>
    <w:rPr>
      <w:i/>
      <w:iCs/>
      <w:color w:val="404040" w:themeColor="text1" w:themeTint="BF"/>
    </w:rPr>
  </w:style>
  <w:style w:type="character" w:customStyle="1" w:styleId="CitaoChar">
    <w:name w:val="Citação Char"/>
    <w:basedOn w:val="Fontepargpadro"/>
    <w:link w:val="Citao"/>
    <w:uiPriority w:val="29"/>
    <w:rsid w:val="006571D3"/>
    <w:rPr>
      <w:i/>
      <w:iCs/>
      <w:color w:val="404040" w:themeColor="text1" w:themeTint="BF"/>
    </w:rPr>
  </w:style>
  <w:style w:type="paragraph" w:styleId="PargrafodaLista">
    <w:name w:val="List Paragraph"/>
    <w:basedOn w:val="Normal"/>
    <w:uiPriority w:val="34"/>
    <w:qFormat/>
    <w:rsid w:val="006571D3"/>
    <w:pPr>
      <w:ind w:left="720"/>
      <w:contextualSpacing/>
    </w:pPr>
  </w:style>
  <w:style w:type="character" w:styleId="nfaseIntensa">
    <w:name w:val="Intense Emphasis"/>
    <w:basedOn w:val="Fontepargpadro"/>
    <w:uiPriority w:val="21"/>
    <w:qFormat/>
    <w:rsid w:val="006571D3"/>
    <w:rPr>
      <w:i/>
      <w:iCs/>
      <w:color w:val="0F4761" w:themeColor="accent1" w:themeShade="BF"/>
    </w:rPr>
  </w:style>
  <w:style w:type="paragraph" w:styleId="CitaoIntensa">
    <w:name w:val="Intense Quote"/>
    <w:basedOn w:val="Normal"/>
    <w:next w:val="Normal"/>
    <w:link w:val="CitaoIntensaChar"/>
    <w:uiPriority w:val="30"/>
    <w:qFormat/>
    <w:rsid w:val="0065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571D3"/>
    <w:rPr>
      <w:i/>
      <w:iCs/>
      <w:color w:val="0F4761" w:themeColor="accent1" w:themeShade="BF"/>
    </w:rPr>
  </w:style>
  <w:style w:type="character" w:styleId="RefernciaIntensa">
    <w:name w:val="Intense Reference"/>
    <w:basedOn w:val="Fontepargpadro"/>
    <w:uiPriority w:val="32"/>
    <w:qFormat/>
    <w:rsid w:val="006571D3"/>
    <w:rPr>
      <w:b/>
      <w:bCs/>
      <w:smallCaps/>
      <w:color w:val="0F4761" w:themeColor="accent1" w:themeShade="BF"/>
      <w:spacing w:val="5"/>
    </w:rPr>
  </w:style>
  <w:style w:type="paragraph" w:styleId="Cabealho">
    <w:name w:val="header"/>
    <w:basedOn w:val="Normal"/>
    <w:link w:val="CabealhoChar"/>
    <w:uiPriority w:val="99"/>
    <w:unhideWhenUsed/>
    <w:rsid w:val="003E01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01DE"/>
  </w:style>
  <w:style w:type="paragraph" w:styleId="Rodap">
    <w:name w:val="footer"/>
    <w:basedOn w:val="Normal"/>
    <w:link w:val="RodapChar"/>
    <w:uiPriority w:val="99"/>
    <w:unhideWhenUsed/>
    <w:rsid w:val="003E01DE"/>
    <w:pPr>
      <w:tabs>
        <w:tab w:val="center" w:pos="4252"/>
        <w:tab w:val="right" w:pos="8504"/>
      </w:tabs>
      <w:spacing w:after="0" w:line="240" w:lineRule="auto"/>
    </w:pPr>
  </w:style>
  <w:style w:type="character" w:customStyle="1" w:styleId="RodapChar">
    <w:name w:val="Rodapé Char"/>
    <w:basedOn w:val="Fontepargpadro"/>
    <w:link w:val="Rodap"/>
    <w:uiPriority w:val="99"/>
    <w:rsid w:val="003E01DE"/>
  </w:style>
  <w:style w:type="table" w:styleId="Tabelacomgrade">
    <w:name w:val="Table Grid"/>
    <w:basedOn w:val="Tabelanormal"/>
    <w:uiPriority w:val="39"/>
    <w:rsid w:val="003E01D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A2235"/>
    <w:rPr>
      <w:color w:val="467886" w:themeColor="hyperlink"/>
      <w:u w:val="single"/>
    </w:rPr>
  </w:style>
  <w:style w:type="character" w:styleId="MenoPendente">
    <w:name w:val="Unresolved Mention"/>
    <w:basedOn w:val="Fontepargpadro"/>
    <w:uiPriority w:val="99"/>
    <w:semiHidden/>
    <w:unhideWhenUsed/>
    <w:rsid w:val="005A2235"/>
    <w:rPr>
      <w:color w:val="605E5C"/>
      <w:shd w:val="clear" w:color="auto" w:fill="E1DFDD"/>
    </w:rPr>
  </w:style>
  <w:style w:type="character" w:styleId="nfase">
    <w:name w:val="Emphasis"/>
    <w:uiPriority w:val="20"/>
    <w:qFormat/>
    <w:rsid w:val="00124931"/>
    <w:rPr>
      <w:i/>
      <w:iCs/>
    </w:rPr>
  </w:style>
  <w:style w:type="character" w:styleId="Forte">
    <w:name w:val="Strong"/>
    <w:basedOn w:val="Fontepargpadro"/>
    <w:uiPriority w:val="22"/>
    <w:qFormat/>
    <w:rsid w:val="00F50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086">
      <w:bodyDiv w:val="1"/>
      <w:marLeft w:val="0"/>
      <w:marRight w:val="0"/>
      <w:marTop w:val="0"/>
      <w:marBottom w:val="0"/>
      <w:divBdr>
        <w:top w:val="none" w:sz="0" w:space="0" w:color="auto"/>
        <w:left w:val="none" w:sz="0" w:space="0" w:color="auto"/>
        <w:bottom w:val="none" w:sz="0" w:space="0" w:color="auto"/>
        <w:right w:val="none" w:sz="0" w:space="0" w:color="auto"/>
      </w:divBdr>
    </w:div>
    <w:div w:id="303782439">
      <w:bodyDiv w:val="1"/>
      <w:marLeft w:val="0"/>
      <w:marRight w:val="0"/>
      <w:marTop w:val="0"/>
      <w:marBottom w:val="0"/>
      <w:divBdr>
        <w:top w:val="none" w:sz="0" w:space="0" w:color="auto"/>
        <w:left w:val="none" w:sz="0" w:space="0" w:color="auto"/>
        <w:bottom w:val="none" w:sz="0" w:space="0" w:color="auto"/>
        <w:right w:val="none" w:sz="0" w:space="0" w:color="auto"/>
      </w:divBdr>
    </w:div>
    <w:div w:id="786699356">
      <w:bodyDiv w:val="1"/>
      <w:marLeft w:val="0"/>
      <w:marRight w:val="0"/>
      <w:marTop w:val="0"/>
      <w:marBottom w:val="0"/>
      <w:divBdr>
        <w:top w:val="none" w:sz="0" w:space="0" w:color="auto"/>
        <w:left w:val="none" w:sz="0" w:space="0" w:color="auto"/>
        <w:bottom w:val="none" w:sz="0" w:space="0" w:color="auto"/>
        <w:right w:val="none" w:sz="0" w:space="0" w:color="auto"/>
      </w:divBdr>
    </w:div>
    <w:div w:id="798034514">
      <w:bodyDiv w:val="1"/>
      <w:marLeft w:val="0"/>
      <w:marRight w:val="0"/>
      <w:marTop w:val="0"/>
      <w:marBottom w:val="0"/>
      <w:divBdr>
        <w:top w:val="none" w:sz="0" w:space="0" w:color="auto"/>
        <w:left w:val="none" w:sz="0" w:space="0" w:color="auto"/>
        <w:bottom w:val="none" w:sz="0" w:space="0" w:color="auto"/>
        <w:right w:val="none" w:sz="0" w:space="0" w:color="auto"/>
      </w:divBdr>
    </w:div>
    <w:div w:id="967204337">
      <w:bodyDiv w:val="1"/>
      <w:marLeft w:val="0"/>
      <w:marRight w:val="0"/>
      <w:marTop w:val="0"/>
      <w:marBottom w:val="0"/>
      <w:divBdr>
        <w:top w:val="none" w:sz="0" w:space="0" w:color="auto"/>
        <w:left w:val="none" w:sz="0" w:space="0" w:color="auto"/>
        <w:bottom w:val="none" w:sz="0" w:space="0" w:color="auto"/>
        <w:right w:val="none" w:sz="0" w:space="0" w:color="auto"/>
      </w:divBdr>
    </w:div>
    <w:div w:id="1170371142">
      <w:bodyDiv w:val="1"/>
      <w:marLeft w:val="0"/>
      <w:marRight w:val="0"/>
      <w:marTop w:val="0"/>
      <w:marBottom w:val="0"/>
      <w:divBdr>
        <w:top w:val="none" w:sz="0" w:space="0" w:color="auto"/>
        <w:left w:val="none" w:sz="0" w:space="0" w:color="auto"/>
        <w:bottom w:val="none" w:sz="0" w:space="0" w:color="auto"/>
        <w:right w:val="none" w:sz="0" w:space="0" w:color="auto"/>
      </w:divBdr>
    </w:div>
    <w:div w:id="1341666146">
      <w:bodyDiv w:val="1"/>
      <w:marLeft w:val="0"/>
      <w:marRight w:val="0"/>
      <w:marTop w:val="0"/>
      <w:marBottom w:val="0"/>
      <w:divBdr>
        <w:top w:val="none" w:sz="0" w:space="0" w:color="auto"/>
        <w:left w:val="none" w:sz="0" w:space="0" w:color="auto"/>
        <w:bottom w:val="none" w:sz="0" w:space="0" w:color="auto"/>
        <w:right w:val="none" w:sz="0" w:space="0" w:color="auto"/>
      </w:divBdr>
    </w:div>
    <w:div w:id="174648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386672735/inciso-ii-do-artigo-76-da-lei-n-14133-de-01-de-abril-de-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usbrasil.com.br/legislacao/1191669267/lei-14133-21" TargetMode="External"/><Relationship Id="rId4" Type="http://schemas.openxmlformats.org/officeDocument/2006/relationships/settings" Target="settings.xml"/><Relationship Id="rId9" Type="http://schemas.openxmlformats.org/officeDocument/2006/relationships/hyperlink" Target="https://www.jusbrasil.com.br/topicos/386672765/artigo-76-da-lei-n-14133-de-01-de-abril-de-20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B3FF-0303-4797-87C7-BB40D803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1417</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PROCURADORIA CMJS</dc:creator>
  <cp:keywords/>
  <dc:description/>
  <cp:lastModifiedBy>PROCURADORIA CMJS</cp:lastModifiedBy>
  <cp:revision>6</cp:revision>
  <dcterms:created xsi:type="dcterms:W3CDTF">2025-01-08T12:22:00Z</dcterms:created>
  <dcterms:modified xsi:type="dcterms:W3CDTF">2025-01-21T14:42:00Z</dcterms:modified>
</cp:coreProperties>
</file>