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29FF" w14:textId="77777777" w:rsidR="00B31BB1" w:rsidRPr="009556E7" w:rsidRDefault="00B31BB1" w:rsidP="009556E7">
      <w:pPr>
        <w:ind w:left="3828"/>
        <w:rPr>
          <w:rFonts w:ascii="Arial" w:hAnsi="Arial" w:cs="Arial"/>
        </w:rPr>
      </w:pPr>
    </w:p>
    <w:p w14:paraId="2259E9F0" w14:textId="77777777" w:rsidR="00FB77C2" w:rsidRPr="009556E7" w:rsidRDefault="00FB77C2" w:rsidP="009556E7">
      <w:pPr>
        <w:ind w:firstLine="1701"/>
        <w:rPr>
          <w:rFonts w:ascii="Arial" w:hAnsi="Arial" w:cs="Arial"/>
        </w:rPr>
      </w:pPr>
    </w:p>
    <w:p w14:paraId="6E706EE8" w14:textId="77777777" w:rsidR="00FB77C2" w:rsidRPr="009556E7" w:rsidRDefault="00FB77C2" w:rsidP="009556E7">
      <w:pPr>
        <w:ind w:firstLine="1701"/>
        <w:jc w:val="center"/>
        <w:rPr>
          <w:rFonts w:ascii="Arial" w:hAnsi="Arial" w:cs="Arial"/>
          <w:b/>
          <w:bCs/>
        </w:rPr>
      </w:pPr>
      <w:r w:rsidRPr="009556E7">
        <w:rPr>
          <w:rFonts w:ascii="Arial" w:hAnsi="Arial" w:cs="Arial"/>
          <w:b/>
          <w:bCs/>
        </w:rPr>
        <w:t>PARECER JURÍDICO</w:t>
      </w:r>
    </w:p>
    <w:p w14:paraId="6A8BD0F9" w14:textId="77777777" w:rsidR="00241269" w:rsidRDefault="00FB77C2" w:rsidP="00241269">
      <w:pPr>
        <w:spacing w:after="0"/>
        <w:jc w:val="both"/>
        <w:rPr>
          <w:rFonts w:ascii="Arial" w:hAnsi="Arial" w:cs="Arial"/>
          <w:b/>
          <w:bCs/>
        </w:rPr>
      </w:pPr>
      <w:r w:rsidRPr="009556E7">
        <w:rPr>
          <w:rFonts w:ascii="Arial" w:hAnsi="Arial" w:cs="Arial"/>
          <w:b/>
          <w:bCs/>
        </w:rPr>
        <w:t xml:space="preserve">Processo nº </w:t>
      </w:r>
      <w:r w:rsidR="00241269" w:rsidRPr="00241269">
        <w:rPr>
          <w:rFonts w:ascii="Arial" w:hAnsi="Arial" w:cs="Arial"/>
          <w:b/>
          <w:bCs/>
        </w:rPr>
        <w:t xml:space="preserve">904.001/2024 </w:t>
      </w:r>
    </w:p>
    <w:p w14:paraId="3D0B1E58" w14:textId="77777777" w:rsidR="00FB77C2" w:rsidRPr="009556E7" w:rsidRDefault="00FB77C2" w:rsidP="00241269">
      <w:pPr>
        <w:spacing w:after="0"/>
        <w:jc w:val="both"/>
        <w:rPr>
          <w:rFonts w:ascii="Arial" w:hAnsi="Arial" w:cs="Arial"/>
        </w:rPr>
      </w:pPr>
      <w:r w:rsidRPr="009556E7">
        <w:rPr>
          <w:rFonts w:ascii="Arial" w:hAnsi="Arial" w:cs="Arial"/>
          <w:b/>
          <w:bCs/>
        </w:rPr>
        <w:t>Interessado:</w:t>
      </w:r>
      <w:r w:rsidRPr="009556E7">
        <w:rPr>
          <w:rFonts w:ascii="Arial" w:hAnsi="Arial" w:cs="Arial"/>
        </w:rPr>
        <w:t xml:space="preserve"> Câmara Municipal de Jardim do Seridó</w:t>
      </w:r>
    </w:p>
    <w:p w14:paraId="21966A0F" w14:textId="17C86BDE" w:rsidR="00241269" w:rsidRPr="00241269" w:rsidRDefault="00FB77C2" w:rsidP="00241269">
      <w:pPr>
        <w:spacing w:after="0"/>
        <w:jc w:val="both"/>
        <w:rPr>
          <w:rFonts w:ascii="Arial" w:hAnsi="Arial" w:cs="Arial"/>
        </w:rPr>
      </w:pPr>
      <w:r w:rsidRPr="009556E7">
        <w:rPr>
          <w:rFonts w:ascii="Arial" w:hAnsi="Arial" w:cs="Arial"/>
          <w:b/>
          <w:bCs/>
        </w:rPr>
        <w:t>Assunto:</w:t>
      </w:r>
      <w:r w:rsidRPr="009556E7">
        <w:rPr>
          <w:rFonts w:ascii="Arial" w:hAnsi="Arial" w:cs="Arial"/>
        </w:rPr>
        <w:t xml:space="preserve"> </w:t>
      </w:r>
      <w:r w:rsidR="00241269" w:rsidRPr="00241269">
        <w:rPr>
          <w:rFonts w:ascii="Arial" w:hAnsi="Arial" w:cs="Arial"/>
        </w:rPr>
        <w:t>REGISTRO DE PREÇO DESTINADO A CONTRATAÇÃO DE EMPRESA ESPECIALIZADA EM PRESTAÇÃO DE SERVIÇOS DE MANUTENÇÃO PREVENTIVA E CORRETIVA EM APARELHO</w:t>
      </w:r>
      <w:r w:rsidR="00241269">
        <w:rPr>
          <w:rFonts w:ascii="Arial" w:hAnsi="Arial" w:cs="Arial"/>
        </w:rPr>
        <w:t>S</w:t>
      </w:r>
      <w:r w:rsidR="00241269" w:rsidRPr="00241269">
        <w:rPr>
          <w:rFonts w:ascii="Arial" w:hAnsi="Arial" w:cs="Arial"/>
        </w:rPr>
        <w:t xml:space="preserve"> </w:t>
      </w:r>
      <w:r w:rsidR="00241269">
        <w:rPr>
          <w:rFonts w:ascii="Arial" w:hAnsi="Arial" w:cs="Arial"/>
        </w:rPr>
        <w:t>CONDICIONADORES DE AR</w:t>
      </w:r>
      <w:r w:rsidR="00241269" w:rsidRPr="00241269">
        <w:rPr>
          <w:rFonts w:ascii="Arial" w:hAnsi="Arial" w:cs="Arial"/>
        </w:rPr>
        <w:t>, ALÉM DA INSTAL</w:t>
      </w:r>
      <w:r w:rsidR="00241269">
        <w:rPr>
          <w:rFonts w:ascii="Arial" w:hAnsi="Arial" w:cs="Arial"/>
        </w:rPr>
        <w:t>A</w:t>
      </w:r>
      <w:r w:rsidR="00241269" w:rsidRPr="00241269">
        <w:rPr>
          <w:rFonts w:ascii="Arial" w:hAnsi="Arial" w:cs="Arial"/>
        </w:rPr>
        <w:t>ÇÃO DOS MESMOS, QUANDO NECESSÁRIO, PARA ATENDER AS NECESSIDADES DO PODER LEGISLATIVO DO MUNICÍPIO DE JARDIM DO SERIDÓ/RN.</w:t>
      </w:r>
    </w:p>
    <w:p w14:paraId="226F9585" w14:textId="77777777" w:rsidR="00241269" w:rsidRPr="00241269" w:rsidRDefault="00241269" w:rsidP="00241269">
      <w:pPr>
        <w:spacing w:after="0"/>
        <w:ind w:firstLine="1701"/>
        <w:jc w:val="both"/>
        <w:rPr>
          <w:rFonts w:ascii="Arial" w:hAnsi="Arial" w:cs="Arial"/>
        </w:rPr>
      </w:pPr>
    </w:p>
    <w:p w14:paraId="7B83F024" w14:textId="465E7ED9" w:rsidR="00241269" w:rsidRPr="00241269" w:rsidRDefault="00241269" w:rsidP="00241269">
      <w:pPr>
        <w:spacing w:after="0"/>
        <w:ind w:left="4253"/>
        <w:jc w:val="both"/>
        <w:rPr>
          <w:rFonts w:asciiTheme="majorHAnsi" w:hAnsiTheme="majorHAnsi" w:cs="Arial"/>
          <w:b/>
          <w:bCs/>
          <w:i/>
          <w:iCs/>
          <w:sz w:val="20"/>
          <w:szCs w:val="20"/>
        </w:rPr>
      </w:pPr>
      <w:r w:rsidRPr="00241269">
        <w:rPr>
          <w:rFonts w:asciiTheme="majorHAnsi" w:hAnsiTheme="majorHAnsi" w:cs="Arial"/>
          <w:b/>
          <w:bCs/>
          <w:i/>
          <w:iCs/>
          <w:sz w:val="20"/>
          <w:szCs w:val="20"/>
        </w:rPr>
        <w:t>DIREITO ADMINISTRATIVO. LICITAÇÕES E CONTRATOS. PREGÃO ELETRÔNICO. APLICABILIDADE DA LEI Nº 14.133/2021, DECRETO Nº 10.818/2021, INSTRUÇÃO NORMATIVA SEGES/MP Nº 003/2018, LEI COMPLEMENTAR Nº 123/2006, LEI Nº 11.488/2007, DECRETO Nº 8.538/2015 E RESOLUÇÃO LEGISLATIVA Nº 007/2023.  ANÁLISE JURÍDICA DO PROCEDIMENTO E DAS MINUTAS. RESSALVAS E/OU RECOMENDAÇÕES</w:t>
      </w:r>
    </w:p>
    <w:p w14:paraId="1D957293" w14:textId="77777777" w:rsidR="00241269" w:rsidRDefault="00241269" w:rsidP="00241269">
      <w:pPr>
        <w:spacing w:after="0"/>
        <w:ind w:left="4253"/>
        <w:jc w:val="both"/>
        <w:rPr>
          <w:rFonts w:asciiTheme="majorHAnsi" w:hAnsiTheme="majorHAnsi" w:cs="Arial"/>
          <w:i/>
          <w:iCs/>
          <w:sz w:val="20"/>
          <w:szCs w:val="20"/>
        </w:rPr>
      </w:pPr>
    </w:p>
    <w:p w14:paraId="3F275809" w14:textId="77777777" w:rsidR="00241269" w:rsidRPr="00241269" w:rsidRDefault="00241269" w:rsidP="00241269">
      <w:pPr>
        <w:spacing w:after="0"/>
        <w:ind w:left="4253"/>
        <w:jc w:val="both"/>
        <w:rPr>
          <w:rFonts w:ascii="Arial" w:hAnsi="Arial" w:cs="Arial"/>
          <w:i/>
          <w:iCs/>
          <w:sz w:val="20"/>
          <w:szCs w:val="20"/>
        </w:rPr>
      </w:pPr>
    </w:p>
    <w:p w14:paraId="3EC79AB4" w14:textId="77777777" w:rsidR="00241269" w:rsidRPr="00B3158B" w:rsidRDefault="00241269" w:rsidP="00241269">
      <w:pPr>
        <w:pStyle w:val="Ttulo1"/>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RELATÓRIO</w:t>
      </w:r>
    </w:p>
    <w:p w14:paraId="0A86CF20"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sz w:val="22"/>
          <w:szCs w:val="22"/>
        </w:rPr>
      </w:pPr>
    </w:p>
    <w:p w14:paraId="70C4A908" w14:textId="679D4596" w:rsidR="00241269" w:rsidRPr="008661FC" w:rsidRDefault="00241269" w:rsidP="00241269">
      <w:pPr>
        <w:pStyle w:val="Default"/>
        <w:tabs>
          <w:tab w:val="left" w:pos="567"/>
          <w:tab w:val="left" w:pos="2552"/>
        </w:tabs>
        <w:ind w:left="567" w:firstLine="425"/>
        <w:jc w:val="both"/>
        <w:rPr>
          <w:rFonts w:asciiTheme="majorHAnsi" w:eastAsia="Calibri" w:hAnsiTheme="majorHAnsi" w:cs="Arial"/>
          <w:sz w:val="22"/>
          <w:szCs w:val="22"/>
        </w:rPr>
      </w:pPr>
      <w:r w:rsidRPr="00B3158B">
        <w:rPr>
          <w:rFonts w:asciiTheme="majorHAnsi" w:hAnsiTheme="majorHAnsi" w:cs="Arial"/>
          <w:sz w:val="22"/>
          <w:szCs w:val="22"/>
        </w:rPr>
        <w:t xml:space="preserve">Trata o presente expediente de processo administrativo que tem por finalidade a aquisição de Análise de Minuta de Edital de Pregão Eletrônico para registro de preço destinado a contratação de empresa especializada em </w:t>
      </w:r>
      <w:r w:rsidRPr="008661FC">
        <w:rPr>
          <w:rFonts w:asciiTheme="majorHAnsi" w:hAnsiTheme="majorHAnsi" w:cs="Arial"/>
          <w:sz w:val="22"/>
          <w:szCs w:val="22"/>
        </w:rPr>
        <w:t xml:space="preserve">manutenção, </w:t>
      </w:r>
      <w:r w:rsidRPr="008661FC">
        <w:rPr>
          <w:rFonts w:asciiTheme="majorHAnsi" w:hAnsiTheme="majorHAnsi"/>
          <w:sz w:val="22"/>
          <w:szCs w:val="22"/>
        </w:rPr>
        <w:t xml:space="preserve">preventiva e corretiva de </w:t>
      </w:r>
      <w:r w:rsidR="0009386E">
        <w:rPr>
          <w:rFonts w:asciiTheme="majorHAnsi" w:hAnsiTheme="majorHAnsi"/>
          <w:sz w:val="22"/>
          <w:szCs w:val="22"/>
        </w:rPr>
        <w:t xml:space="preserve">condicionadores de ar, </w:t>
      </w:r>
      <w:proofErr w:type="gramStart"/>
      <w:r w:rsidR="0009386E">
        <w:rPr>
          <w:rFonts w:asciiTheme="majorHAnsi" w:hAnsiTheme="majorHAnsi"/>
          <w:sz w:val="22"/>
          <w:szCs w:val="22"/>
        </w:rPr>
        <w:t>além da instalações</w:t>
      </w:r>
      <w:proofErr w:type="gramEnd"/>
      <w:r w:rsidR="0009386E">
        <w:rPr>
          <w:rFonts w:asciiTheme="majorHAnsi" w:hAnsiTheme="majorHAnsi"/>
          <w:sz w:val="22"/>
          <w:szCs w:val="22"/>
        </w:rPr>
        <w:t xml:space="preserve"> dos mesmos</w:t>
      </w:r>
      <w:r w:rsidRPr="008661FC">
        <w:rPr>
          <w:rFonts w:asciiTheme="majorHAnsi" w:hAnsiTheme="majorHAnsi"/>
          <w:sz w:val="22"/>
          <w:szCs w:val="22"/>
        </w:rPr>
        <w:t xml:space="preserve">, visando atender as necessidades da </w:t>
      </w:r>
      <w:r w:rsidR="0009386E">
        <w:rPr>
          <w:rFonts w:asciiTheme="majorHAnsi" w:hAnsiTheme="majorHAnsi"/>
          <w:sz w:val="22"/>
          <w:szCs w:val="22"/>
        </w:rPr>
        <w:t>C</w:t>
      </w:r>
      <w:r w:rsidRPr="008661FC">
        <w:rPr>
          <w:rFonts w:asciiTheme="majorHAnsi" w:hAnsiTheme="majorHAnsi"/>
          <w:sz w:val="22"/>
          <w:szCs w:val="22"/>
        </w:rPr>
        <w:t xml:space="preserve">âmara </w:t>
      </w:r>
      <w:r w:rsidR="0009386E">
        <w:rPr>
          <w:rFonts w:asciiTheme="majorHAnsi" w:hAnsiTheme="majorHAnsi"/>
          <w:sz w:val="22"/>
          <w:szCs w:val="22"/>
        </w:rPr>
        <w:t>M</w:t>
      </w:r>
      <w:r w:rsidRPr="008661FC">
        <w:rPr>
          <w:rFonts w:asciiTheme="majorHAnsi" w:hAnsiTheme="majorHAnsi"/>
          <w:sz w:val="22"/>
          <w:szCs w:val="22"/>
        </w:rPr>
        <w:t xml:space="preserve">unicipal de </w:t>
      </w:r>
      <w:r>
        <w:rPr>
          <w:rFonts w:asciiTheme="majorHAnsi" w:hAnsiTheme="majorHAnsi"/>
          <w:sz w:val="22"/>
          <w:szCs w:val="22"/>
        </w:rPr>
        <w:t>J</w:t>
      </w:r>
      <w:r w:rsidRPr="008661FC">
        <w:rPr>
          <w:rFonts w:asciiTheme="majorHAnsi" w:hAnsiTheme="majorHAnsi"/>
          <w:sz w:val="22"/>
          <w:szCs w:val="22"/>
        </w:rPr>
        <w:t xml:space="preserve">ardim do </w:t>
      </w:r>
      <w:r>
        <w:rPr>
          <w:rFonts w:asciiTheme="majorHAnsi" w:hAnsiTheme="majorHAnsi"/>
          <w:sz w:val="22"/>
          <w:szCs w:val="22"/>
        </w:rPr>
        <w:t>S</w:t>
      </w:r>
      <w:r w:rsidRPr="008661FC">
        <w:rPr>
          <w:rFonts w:asciiTheme="majorHAnsi" w:hAnsiTheme="majorHAnsi"/>
          <w:sz w:val="22"/>
          <w:szCs w:val="22"/>
        </w:rPr>
        <w:t>eridó/</w:t>
      </w:r>
      <w:r>
        <w:rPr>
          <w:rFonts w:asciiTheme="majorHAnsi" w:hAnsiTheme="majorHAnsi"/>
          <w:sz w:val="22"/>
          <w:szCs w:val="22"/>
        </w:rPr>
        <w:t>RN.</w:t>
      </w:r>
    </w:p>
    <w:p w14:paraId="439590C4" w14:textId="77777777" w:rsidR="00241269" w:rsidRPr="00B3158B" w:rsidRDefault="00241269" w:rsidP="00241269">
      <w:pPr>
        <w:pStyle w:val="Default"/>
        <w:tabs>
          <w:tab w:val="left" w:pos="567"/>
          <w:tab w:val="left" w:pos="2552"/>
        </w:tabs>
        <w:spacing w:line="360" w:lineRule="auto"/>
        <w:ind w:left="567" w:firstLine="425"/>
        <w:jc w:val="both"/>
        <w:rPr>
          <w:rFonts w:asciiTheme="majorHAnsi" w:hAnsiTheme="majorHAnsi" w:cs="Arial"/>
          <w:sz w:val="22"/>
          <w:szCs w:val="22"/>
        </w:rPr>
      </w:pPr>
    </w:p>
    <w:p w14:paraId="5BDF8897" w14:textId="77777777" w:rsidR="00241269" w:rsidRPr="00B3158B" w:rsidRDefault="00241269" w:rsidP="00241269">
      <w:pPr>
        <w:tabs>
          <w:tab w:val="left" w:pos="567"/>
          <w:tab w:val="left" w:pos="2552"/>
        </w:tabs>
        <w:spacing w:after="2" w:line="460" w:lineRule="auto"/>
        <w:ind w:left="567" w:firstLine="425"/>
        <w:rPr>
          <w:rFonts w:asciiTheme="majorHAnsi" w:hAnsiTheme="majorHAnsi" w:cs="Arial"/>
        </w:rPr>
      </w:pPr>
      <w:r w:rsidRPr="00B3158B">
        <w:rPr>
          <w:rFonts w:asciiTheme="majorHAnsi" w:hAnsiTheme="majorHAnsi" w:cs="Arial"/>
        </w:rPr>
        <w:t>É a síntese do necessário.</w:t>
      </w:r>
    </w:p>
    <w:p w14:paraId="2987FD72" w14:textId="77777777" w:rsidR="00241269" w:rsidRPr="00B3158B" w:rsidRDefault="00241269" w:rsidP="00241269">
      <w:pPr>
        <w:pStyle w:val="Ttulo1"/>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APRECIAÇÃO JURÍDICA</w:t>
      </w:r>
    </w:p>
    <w:p w14:paraId="6112CA2A" w14:textId="77777777" w:rsidR="00241269" w:rsidRPr="00B3158B" w:rsidRDefault="00241269" w:rsidP="00241269">
      <w:pPr>
        <w:pStyle w:val="Ttulo2"/>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Finalidade e abrangência do parecer jurídico</w:t>
      </w:r>
    </w:p>
    <w:p w14:paraId="28E29F9A"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presente manifestação jurídica tem o escopo de assistir a autoridade assessorada no controle prévio de legalidade, conforme estabelece o artigo 53, I e II, da Lei nº 14.133, de 2021 (Nova Lei de Licitações e Contratos – NLLC):</w:t>
      </w:r>
    </w:p>
    <w:p w14:paraId="19119178"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lastRenderedPageBreak/>
        <w:t>Art. 53. Ao final da fase preparatória, o processo licitatório seguirá para o órgão de assessoramento jurídico da Administração, que realizará controle prévio de legalidade mediante análise jurídica da contratação.</w:t>
      </w:r>
    </w:p>
    <w:p w14:paraId="520656C0"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 1º Na elaboração do parecer jurídico, o órgão de assessoramento jurídico da Administração deverá:</w:t>
      </w:r>
    </w:p>
    <w:p w14:paraId="583AD964"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 xml:space="preserve">I - </w:t>
      </w:r>
      <w:bookmarkStart w:id="0" w:name="_Int_0TyxVhUD"/>
      <w:proofErr w:type="gramStart"/>
      <w:r w:rsidRPr="008661FC">
        <w:rPr>
          <w:rFonts w:asciiTheme="majorHAnsi" w:hAnsiTheme="majorHAnsi" w:cs="Arial"/>
          <w:i/>
          <w:iCs/>
          <w:sz w:val="20"/>
        </w:rPr>
        <w:t>apreciar</w:t>
      </w:r>
      <w:bookmarkEnd w:id="0"/>
      <w:proofErr w:type="gramEnd"/>
      <w:r w:rsidRPr="008661FC">
        <w:rPr>
          <w:rFonts w:asciiTheme="majorHAnsi" w:hAnsiTheme="majorHAnsi" w:cs="Arial"/>
          <w:i/>
          <w:iCs/>
          <w:sz w:val="20"/>
        </w:rPr>
        <w:t xml:space="preserve"> o processo licitatório conforme critérios objetivos prévios de atribuição de prioridade;</w:t>
      </w:r>
    </w:p>
    <w:p w14:paraId="64B2C2C5"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 xml:space="preserve">II - </w:t>
      </w:r>
      <w:bookmarkStart w:id="1" w:name="_Int_ZWTyuk5N"/>
      <w:proofErr w:type="gramStart"/>
      <w:r w:rsidRPr="008661FC">
        <w:rPr>
          <w:rFonts w:asciiTheme="majorHAnsi" w:hAnsiTheme="majorHAnsi" w:cs="Arial"/>
          <w:i/>
          <w:iCs/>
          <w:sz w:val="20"/>
        </w:rPr>
        <w:t>redigir</w:t>
      </w:r>
      <w:bookmarkEnd w:id="1"/>
      <w:proofErr w:type="gramEnd"/>
      <w:r w:rsidRPr="008661FC">
        <w:rPr>
          <w:rFonts w:asciiTheme="majorHAnsi" w:hAnsiTheme="majorHAnsi" w:cs="Arial"/>
          <w:i/>
          <w:iCs/>
          <w:sz w:val="20"/>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38E6D98E"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0B34FC33" w14:textId="77777777" w:rsidR="00241269" w:rsidRPr="00B3158B" w:rsidRDefault="00241269" w:rsidP="0009386E">
      <w:pPr>
        <w:pStyle w:val="Citao"/>
        <w:tabs>
          <w:tab w:val="left" w:pos="2552"/>
        </w:tabs>
        <w:ind w:left="3969" w:firstLine="0"/>
        <w:rPr>
          <w:rFonts w:asciiTheme="majorHAnsi" w:hAnsiTheme="majorHAnsi" w:cs="Arial"/>
          <w:sz w:val="22"/>
          <w:szCs w:val="22"/>
        </w:rPr>
      </w:pPr>
      <w:r w:rsidRPr="00B3158B">
        <w:rPr>
          <w:rFonts w:asciiTheme="majorHAnsi" w:hAnsiTheme="majorHAnsi" w:cs="Arial"/>
          <w:sz w:val="22"/>
          <w:szCs w:val="22"/>
        </w:rPr>
        <w:t>Enunciado BPC nº 7</w:t>
      </w:r>
    </w:p>
    <w:p w14:paraId="0ABBDB51" w14:textId="77777777" w:rsidR="00241269" w:rsidRPr="00B3158B" w:rsidRDefault="00241269" w:rsidP="0009386E">
      <w:pPr>
        <w:pStyle w:val="Citao"/>
        <w:tabs>
          <w:tab w:val="left" w:pos="2552"/>
        </w:tabs>
        <w:ind w:left="3969" w:firstLine="0"/>
        <w:rPr>
          <w:rFonts w:asciiTheme="majorHAnsi" w:hAnsiTheme="majorHAnsi" w:cs="Arial"/>
          <w:sz w:val="22"/>
          <w:szCs w:val="22"/>
        </w:rPr>
      </w:pPr>
    </w:p>
    <w:p w14:paraId="63D95B09" w14:textId="77777777" w:rsidR="00241269" w:rsidRPr="00B3158B" w:rsidRDefault="00241269" w:rsidP="0009386E">
      <w:pPr>
        <w:pStyle w:val="Citao"/>
        <w:tabs>
          <w:tab w:val="left" w:pos="2552"/>
        </w:tabs>
        <w:ind w:left="3969" w:firstLine="0"/>
        <w:rPr>
          <w:rFonts w:asciiTheme="majorHAnsi" w:hAnsiTheme="majorHAnsi" w:cs="Arial"/>
          <w:i/>
          <w:iCs/>
          <w:sz w:val="22"/>
          <w:szCs w:val="22"/>
        </w:rPr>
      </w:pPr>
      <w:r w:rsidRPr="00B3158B">
        <w:rPr>
          <w:rFonts w:asciiTheme="majorHAnsi" w:hAnsiTheme="majorHAnsi" w:cs="Arial"/>
          <w:i/>
          <w:iCs/>
          <w:sz w:val="22"/>
          <w:szCs w:val="22"/>
        </w:rPr>
        <w:t>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w:t>
      </w:r>
    </w:p>
    <w:p w14:paraId="24865358" w14:textId="77777777" w:rsidR="00241269" w:rsidRPr="00B3158B" w:rsidRDefault="00241269" w:rsidP="00241269">
      <w:pPr>
        <w:tabs>
          <w:tab w:val="left" w:pos="567"/>
          <w:tab w:val="left" w:pos="2552"/>
        </w:tabs>
        <w:ind w:left="567" w:firstLine="425"/>
        <w:rPr>
          <w:rFonts w:asciiTheme="majorHAnsi" w:hAnsiTheme="majorHAnsi" w:cs="Arial"/>
          <w:lang w:eastAsia="ar-SA"/>
        </w:rPr>
      </w:pPr>
    </w:p>
    <w:p w14:paraId="50382019"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B3158B">
        <w:rPr>
          <w:rFonts w:asciiTheme="majorHAnsi" w:hAnsiTheme="majorHAnsi" w:cs="Arial"/>
          <w:sz w:val="22"/>
          <w:szCs w:val="22"/>
        </w:rPr>
        <w:t>O mesmo</w:t>
      </w:r>
      <w:bookmarkEnd w:id="2"/>
      <w:r w:rsidRPr="00B3158B">
        <w:rPr>
          <w:rFonts w:asciiTheme="majorHAnsi" w:hAnsiTheme="majorHAnsi" w:cs="Arial"/>
          <w:sz w:val="22"/>
          <w:szCs w:val="22"/>
        </w:rPr>
        <w:t xml:space="preserve"> se pressupõe em relação ao exercício da competência discricionária pelo órgão assessorado, cujas decisões devem ser motivadas nos autos.</w:t>
      </w:r>
    </w:p>
    <w:p w14:paraId="143443B7"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Style w:val="cf01"/>
          <w:rFonts w:asciiTheme="majorHAnsi" w:hAnsiTheme="majorHAnsi" w:cs="Arial"/>
          <w:sz w:val="22"/>
          <w:szCs w:val="22"/>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2CB96509" w14:textId="77777777" w:rsidR="0009386E"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Finalmente, deve-se salientar que determinadas observações são feitas sem caráter vinculativo, mas em prol da segurança da própria autoridade assessorada a quem</w:t>
      </w:r>
    </w:p>
    <w:p w14:paraId="341674C9" w14:textId="00648E72"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lastRenderedPageBreak/>
        <w:t xml:space="preserve"> incumbe, dentro da margem de discricionariedade que lhe é conferida pela lei, avaliar e acatar, ou não, tais ponderações.</w:t>
      </w:r>
    </w:p>
    <w:p w14:paraId="5C8B0A6D"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Não obstante, as questões relacionadas à legalidade serão apontadas para fins de sua correção. O seguimento do processo sem a observância destes apontamentos será de responsabilidade exclusiva da Administração.</w:t>
      </w:r>
    </w:p>
    <w:p w14:paraId="5D1BD568" w14:textId="77777777" w:rsidR="00241269" w:rsidRPr="00B3158B" w:rsidRDefault="00241269" w:rsidP="00241269">
      <w:pPr>
        <w:pStyle w:val="Ttulo2"/>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Limites e instâncias de governança</w:t>
      </w:r>
    </w:p>
    <w:p w14:paraId="0FD6E082"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sz w:val="22"/>
          <w:szCs w:val="22"/>
        </w:rPr>
      </w:pPr>
    </w:p>
    <w:p w14:paraId="416F9A0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No presente caso, o valor da contratação é de R$ 77.969,15 e o órgão assessorado declarou que o serviço contratado constitui atividade de custeio.</w:t>
      </w:r>
    </w:p>
    <w:p w14:paraId="71746D88"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sua vez, o Ordenador de Despesas autorizou a contratação.</w:t>
      </w:r>
    </w:p>
    <w:p w14:paraId="1A9AF1B2"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Reiteramos que não é papel do órgão de assessoramento jurídico exercer a auditoria quanto à competência de cada agente público para a prática de atos administrativos.</w:t>
      </w:r>
    </w:p>
    <w:p w14:paraId="4536F3BC"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cs="Arial"/>
          <w:b/>
          <w:bCs/>
          <w:sz w:val="22"/>
          <w:szCs w:val="22"/>
        </w:rPr>
      </w:pPr>
    </w:p>
    <w:p w14:paraId="6831445E" w14:textId="77777777" w:rsidR="00241269" w:rsidRPr="00B3158B" w:rsidRDefault="00241269" w:rsidP="00241269">
      <w:pPr>
        <w:pStyle w:val="Ttulo4"/>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Descrição da Necessidade da contratação</w:t>
      </w:r>
    </w:p>
    <w:p w14:paraId="4518B885" w14:textId="77777777" w:rsidR="00241269" w:rsidRPr="00B3158B" w:rsidRDefault="00241269" w:rsidP="00241269">
      <w:pPr>
        <w:tabs>
          <w:tab w:val="left" w:pos="567"/>
          <w:tab w:val="left" w:pos="2552"/>
        </w:tabs>
        <w:ind w:left="567" w:firstLine="425"/>
        <w:rPr>
          <w:rFonts w:asciiTheme="majorHAnsi" w:hAnsiTheme="majorHAnsi" w:cs="Arial"/>
          <w:lang w:eastAsia="ar-SA"/>
        </w:rPr>
      </w:pPr>
    </w:p>
    <w:p w14:paraId="606B8F25"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41B37E5B" w14:textId="77777777" w:rsidR="00241269" w:rsidRPr="00183089" w:rsidRDefault="00241269" w:rsidP="00241269">
      <w:pPr>
        <w:pStyle w:val="PargrafoParecer"/>
        <w:tabs>
          <w:tab w:val="left" w:pos="567"/>
          <w:tab w:val="left" w:pos="2552"/>
        </w:tabs>
        <w:ind w:left="567" w:firstLine="425"/>
        <w:rPr>
          <w:rFonts w:asciiTheme="majorHAnsi" w:hAnsiTheme="majorHAnsi"/>
          <w:sz w:val="22"/>
          <w:szCs w:val="22"/>
        </w:rPr>
      </w:pPr>
      <w:bookmarkStart w:id="3" w:name="_Hlk121330425"/>
      <w:r w:rsidRPr="00183089">
        <w:rPr>
          <w:rFonts w:asciiTheme="majorHAnsi" w:hAnsiTheme="majorHAnsi"/>
          <w:sz w:val="22"/>
          <w:szCs w:val="22"/>
        </w:rPr>
        <w:t xml:space="preserve">Essa investigação inicial é expressamente demandada no art. 18, I e §1º, I da </w:t>
      </w:r>
      <w:r w:rsidRPr="00183089">
        <w:t>NLLC</w:t>
      </w:r>
      <w:r w:rsidRPr="00183089">
        <w:rPr>
          <w:rFonts w:asciiTheme="majorHAnsi" w:hAnsiTheme="majorHAnsi"/>
          <w:sz w:val="22"/>
          <w:szCs w:val="22"/>
        </w:rPr>
        <w:t xml:space="preserve">. Trata-se de etapa fundamental do processo, por meio da qual o problema colocado para a Administração pode vir a ser compreendido sob outra perspectiva e assim contribuir para que outras soluções </w:t>
      </w:r>
      <w:proofErr w:type="spellStart"/>
      <w:r w:rsidRPr="00183089">
        <w:rPr>
          <w:rFonts w:asciiTheme="majorHAnsi" w:hAnsiTheme="majorHAnsi"/>
          <w:sz w:val="22"/>
          <w:szCs w:val="22"/>
        </w:rPr>
        <w:t>semostrem</w:t>
      </w:r>
      <w:proofErr w:type="spellEnd"/>
      <w:r w:rsidRPr="00183089">
        <w:rPr>
          <w:rFonts w:asciiTheme="majorHAnsi" w:hAnsiTheme="majorHAnsi"/>
          <w:sz w:val="22"/>
          <w:szCs w:val="22"/>
        </w:rPr>
        <w:t xml:space="preserve"> propícias a atender a demanda, quando se passar à fase de levantamento de mercado, tratada mais à frente. A clareza da necessidade administrativa é a base para possíveis inovações.</w:t>
      </w:r>
    </w:p>
    <w:p w14:paraId="1E032EAB"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Também por meio dela é possível fazer uma reflexão para extrair quais os requisitos essenciais sem os quais </w:t>
      </w:r>
      <w:bookmarkStart w:id="4" w:name="_Int_HWwWFv4g"/>
      <w:r w:rsidRPr="00B3158B">
        <w:rPr>
          <w:rFonts w:asciiTheme="majorHAnsi" w:hAnsiTheme="majorHAnsi" w:cs="Arial"/>
          <w:sz w:val="22"/>
          <w:szCs w:val="22"/>
        </w:rPr>
        <w:t>a</w:t>
      </w:r>
      <w:bookmarkEnd w:id="4"/>
      <w:r w:rsidRPr="00B3158B">
        <w:rPr>
          <w:rFonts w:asciiTheme="majorHAnsi" w:hAnsiTheme="majorHAnsi" w:cs="Arial"/>
          <w:sz w:val="22"/>
          <w:szCs w:val="22"/>
        </w:rPr>
        <w:t xml:space="preserve"> necessidade não seria atendida. </w:t>
      </w:r>
      <w:bookmarkStart w:id="5" w:name="_Int_LgRaybu1"/>
      <w:r w:rsidRPr="00B3158B">
        <w:rPr>
          <w:rFonts w:asciiTheme="majorHAnsi" w:hAnsiTheme="majorHAnsi" w:cs="Arial"/>
          <w:sz w:val="22"/>
          <w:szCs w:val="22"/>
        </w:rPr>
        <w:t>Trata-se</w:t>
      </w:r>
      <w:bookmarkEnd w:id="5"/>
      <w:r w:rsidRPr="00B3158B">
        <w:rPr>
          <w:rFonts w:asciiTheme="majorHAnsi" w:hAnsiTheme="majorHAnsi" w:cs="Arial"/>
          <w:sz w:val="22"/>
          <w:szCs w:val="22"/>
        </w:rPr>
        <w:t xml:space="preserve"> de requisitos da própria necessidade, portanto, e não de eventuais soluções a serem adotadas, até porque, nessa primeira etapa, ainda não se sabe quais as soluções disponíveis. Nesse sentido, o art. 18, §1º da Lei n. 14.133, de 2022, que estabelece os elementos do ETP, prevê os requisitos da contratação no seu inciso III, enquanto o levantamento de mercado (quando se buscam as soluções disponíveis) somente no inciso V.</w:t>
      </w:r>
    </w:p>
    <w:p w14:paraId="7B22262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Além disso, a descrição da necessidade de contratação deve conter manifestação acerca da </w:t>
      </w:r>
      <w:r w:rsidRPr="00B3158B">
        <w:rPr>
          <w:rFonts w:asciiTheme="majorHAnsi" w:hAnsiTheme="majorHAnsi" w:cs="Arial"/>
          <w:sz w:val="22"/>
          <w:szCs w:val="22"/>
          <w:u w:val="single"/>
        </w:rPr>
        <w:t>essencialidade e interesse público da contratação</w:t>
      </w:r>
      <w:r w:rsidRPr="00B3158B">
        <w:rPr>
          <w:rFonts w:asciiTheme="majorHAnsi" w:hAnsiTheme="majorHAnsi" w:cs="Arial"/>
          <w:sz w:val="22"/>
          <w:szCs w:val="22"/>
        </w:rPr>
        <w:t xml:space="preserve">, para os fins do previsto no art. 3º do Decreto nº 8.540/2015, a ser interpretado em consonância com a Lei n. 14.133, de 2022, devendo portanto ser avaliado o interesse público também na perspectiva de se haverá impacto ambiental negativo decorrente da contratação e se há opções que </w:t>
      </w:r>
      <w:r w:rsidRPr="00B3158B">
        <w:rPr>
          <w:rFonts w:asciiTheme="majorHAnsi" w:hAnsiTheme="majorHAnsi" w:cs="Arial"/>
          <w:sz w:val="22"/>
          <w:szCs w:val="22"/>
        </w:rPr>
        <w:lastRenderedPageBreak/>
        <w:t>atendam ao princípio do desenvolvimento nacional sustentável, considerando o ciclo de vida do objeto (artigo 11, I, Lei n. 14.133, de 2021)</w:t>
      </w:r>
    </w:p>
    <w:p w14:paraId="681E32FB"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B3158B">
        <w:rPr>
          <w:rFonts w:asciiTheme="majorHAnsi" w:hAnsiTheme="majorHAnsi" w:cs="Arial"/>
          <w:sz w:val="22"/>
          <w:szCs w:val="22"/>
        </w:rPr>
        <w:t>.</w:t>
      </w:r>
    </w:p>
    <w:p w14:paraId="6996A36B"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cs="Arial"/>
          <w:b/>
          <w:bCs/>
          <w:caps/>
          <w:sz w:val="22"/>
          <w:szCs w:val="22"/>
        </w:rPr>
      </w:pPr>
      <w:r w:rsidRPr="00B3158B">
        <w:rPr>
          <w:rFonts w:asciiTheme="majorHAnsi" w:hAnsiTheme="majorHAnsi" w:cs="Arial"/>
          <w:sz w:val="22"/>
          <w:szCs w:val="22"/>
        </w:rPr>
        <w:t>17. Sem prejuízo dessa constatação, observa-se que, no caso concreto, o órgão descreveu a necessidade administrativa.</w:t>
      </w:r>
    </w:p>
    <w:p w14:paraId="530830B6" w14:textId="77777777" w:rsidR="00241269" w:rsidRPr="00B3158B" w:rsidRDefault="00241269" w:rsidP="00241269">
      <w:pPr>
        <w:pStyle w:val="Ttulo4"/>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Levantamento de Mercado</w:t>
      </w:r>
    </w:p>
    <w:p w14:paraId="7C41A515"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w:t>
      </w:r>
      <w:proofErr w:type="spellStart"/>
      <w:r w:rsidRPr="00B3158B">
        <w:rPr>
          <w:rFonts w:asciiTheme="majorHAnsi" w:hAnsiTheme="majorHAnsi" w:cs="Arial"/>
          <w:sz w:val="22"/>
          <w:szCs w:val="22"/>
        </w:rPr>
        <w:t>a</w:t>
      </w:r>
      <w:proofErr w:type="spellEnd"/>
      <w:r w:rsidRPr="00B3158B">
        <w:rPr>
          <w:rFonts w:asciiTheme="majorHAnsi" w:hAnsiTheme="majorHAnsi" w:cs="Arial"/>
          <w:sz w:val="22"/>
          <w:szCs w:val="22"/>
        </w:rPr>
        <w:t xml:space="preserve"> necessidade administrativa ou então novas metodologias de execução/contratação que gerem ganhos de produtividade ou economia para a Administração.</w:t>
      </w:r>
    </w:p>
    <w:p w14:paraId="7D67173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artigo 9º, III, “a” à “d” da Instrução Normativa Seges/ME nº 58, de 8 de agosto de 2022 indica algumas opções para realizar essa busca e o art. 12 estabelece que “os órgãos e entidades deverão pesquisar, no Sistema ETP Digital, os ETP de outras unidades, como forma de identificar soluções semelhantes que possam se adequar à demanda da Administração.”</w:t>
      </w:r>
    </w:p>
    <w:p w14:paraId="76F21A67"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Neste ponto, ressalte-se que a vantajosidade deve considerar o ciclo de vida do objeto, nos termos dos artigos 11, I e 18, VIII, da mesma lei.</w:t>
      </w:r>
    </w:p>
    <w:p w14:paraId="40EBCCA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311686B9"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Em vista do exposto, registra-se que no caso concreto, o órgão realizou a busca por soluções de mercado, tendo justificado, a solução mais adequada à necessidade administrativa.</w:t>
      </w:r>
    </w:p>
    <w:p w14:paraId="483B2433"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cs="Arial"/>
          <w:sz w:val="22"/>
          <w:szCs w:val="22"/>
        </w:rPr>
      </w:pPr>
    </w:p>
    <w:p w14:paraId="1FE88CD3" w14:textId="77777777" w:rsidR="00241269" w:rsidRPr="00B3158B" w:rsidRDefault="00241269" w:rsidP="00241269">
      <w:pPr>
        <w:pStyle w:val="Ttulo4"/>
        <w:tabs>
          <w:tab w:val="left" w:pos="567"/>
          <w:tab w:val="left" w:pos="2552"/>
        </w:tabs>
        <w:ind w:left="567" w:firstLine="425"/>
        <w:rPr>
          <w:rFonts w:asciiTheme="majorHAnsi" w:hAnsiTheme="majorHAnsi" w:cs="Arial"/>
          <w:i w:val="0"/>
          <w:iCs w:val="0"/>
          <w:sz w:val="22"/>
          <w:szCs w:val="22"/>
        </w:rPr>
      </w:pPr>
      <w:r w:rsidRPr="00B3158B">
        <w:rPr>
          <w:rFonts w:asciiTheme="majorHAnsi" w:hAnsiTheme="majorHAnsi" w:cs="Arial"/>
          <w:i w:val="0"/>
          <w:iCs w:val="0"/>
          <w:sz w:val="22"/>
          <w:szCs w:val="22"/>
        </w:rPr>
        <w:t>Definição do Objeto</w:t>
      </w:r>
    </w:p>
    <w:p w14:paraId="376F3B64" w14:textId="77777777" w:rsidR="00241269" w:rsidRPr="00B3158B" w:rsidRDefault="00241269" w:rsidP="00241269">
      <w:pPr>
        <w:tabs>
          <w:tab w:val="left" w:pos="567"/>
          <w:tab w:val="left" w:pos="2552"/>
        </w:tabs>
        <w:ind w:left="567" w:firstLine="425"/>
        <w:rPr>
          <w:rFonts w:asciiTheme="majorHAnsi" w:hAnsiTheme="majorHAnsi" w:cs="Arial"/>
          <w:lang w:eastAsia="ar-SA"/>
        </w:rPr>
      </w:pPr>
    </w:p>
    <w:p w14:paraId="414642C5"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w:t>
      </w:r>
      <w:r w:rsidRPr="00B3158B">
        <w:rPr>
          <w:rFonts w:asciiTheme="majorHAnsi" w:hAnsiTheme="majorHAnsi" w:cs="Arial"/>
          <w:sz w:val="22"/>
          <w:szCs w:val="22"/>
        </w:rPr>
        <w:lastRenderedPageBreak/>
        <w:t>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3F7C586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w:t>
      </w:r>
    </w:p>
    <w:p w14:paraId="20595E23"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 acordo com o art. 18, caput, da Lei n. 14.133, de 2021, a fase de planejamento deve abordar todas as </w:t>
      </w:r>
      <w:r w:rsidRPr="00B3158B">
        <w:rPr>
          <w:rFonts w:asciiTheme="majorHAnsi" w:hAnsiTheme="majorHAnsi" w:cs="Arial"/>
          <w:sz w:val="22"/>
          <w:szCs w:val="22"/>
          <w:u w:val="single"/>
        </w:rPr>
        <w:t>considerações técnicas, mercadológicas e de gestão</w:t>
      </w:r>
      <w:r w:rsidRPr="00B3158B">
        <w:rPr>
          <w:rFonts w:asciiTheme="majorHAnsi" w:hAnsiTheme="majorHAnsi" w:cs="Arial"/>
          <w:sz w:val="22"/>
          <w:szCs w:val="22"/>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w:t>
      </w:r>
    </w:p>
    <w:p w14:paraId="1F7D26F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1F4C27F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47A734CF"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cs="Arial"/>
          <w:sz w:val="22"/>
          <w:szCs w:val="22"/>
        </w:rPr>
      </w:pPr>
    </w:p>
    <w:p w14:paraId="74A1B480" w14:textId="77777777" w:rsidR="00241269" w:rsidRPr="00B3158B" w:rsidRDefault="00241269" w:rsidP="00241269">
      <w:pPr>
        <w:pStyle w:val="Ttulo4"/>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Demais aspectos ligados à definição do Objeto</w:t>
      </w:r>
    </w:p>
    <w:p w14:paraId="7A968164" w14:textId="77777777" w:rsidR="00241269" w:rsidRPr="00B3158B" w:rsidRDefault="00241269" w:rsidP="00241269">
      <w:pPr>
        <w:tabs>
          <w:tab w:val="left" w:pos="567"/>
          <w:tab w:val="left" w:pos="2552"/>
        </w:tabs>
        <w:ind w:left="567" w:firstLine="425"/>
        <w:rPr>
          <w:rFonts w:asciiTheme="majorHAnsi" w:hAnsiTheme="majorHAnsi" w:cs="Arial"/>
          <w:lang w:eastAsia="ar-SA"/>
        </w:rPr>
      </w:pPr>
    </w:p>
    <w:p w14:paraId="7AEED2EF" w14:textId="77777777" w:rsidR="00241269" w:rsidRPr="00B3158B" w:rsidRDefault="00241269" w:rsidP="00241269">
      <w:pPr>
        <w:pStyle w:val="Ttulo5"/>
        <w:tabs>
          <w:tab w:val="left" w:pos="567"/>
          <w:tab w:val="left" w:pos="2552"/>
        </w:tabs>
        <w:ind w:left="567" w:firstLine="425"/>
        <w:rPr>
          <w:rFonts w:asciiTheme="majorHAnsi" w:hAnsiTheme="majorHAnsi" w:cs="Arial"/>
          <w:color w:val="auto"/>
          <w:sz w:val="22"/>
          <w:szCs w:val="22"/>
        </w:rPr>
      </w:pPr>
      <w:r w:rsidRPr="00B3158B">
        <w:rPr>
          <w:rFonts w:asciiTheme="majorHAnsi" w:hAnsiTheme="majorHAnsi" w:cs="Arial"/>
          <w:color w:val="auto"/>
          <w:sz w:val="22"/>
          <w:szCs w:val="22"/>
        </w:rPr>
        <w:t>Quantitativos Estimados</w:t>
      </w:r>
    </w:p>
    <w:p w14:paraId="371F1389" w14:textId="77777777" w:rsidR="00241269" w:rsidRPr="00B3158B" w:rsidRDefault="00241269" w:rsidP="00241269">
      <w:pPr>
        <w:tabs>
          <w:tab w:val="left" w:pos="567"/>
          <w:tab w:val="left" w:pos="2552"/>
        </w:tabs>
        <w:ind w:left="567" w:firstLine="425"/>
        <w:rPr>
          <w:rFonts w:asciiTheme="majorHAnsi" w:hAnsiTheme="majorHAnsi" w:cs="Arial"/>
          <w:lang w:eastAsia="ar-SA"/>
        </w:rPr>
      </w:pPr>
    </w:p>
    <w:p w14:paraId="3E3D3A39"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76225059"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w:t>
      </w:r>
      <w:r w:rsidRPr="00B3158B">
        <w:rPr>
          <w:rFonts w:asciiTheme="majorHAnsi" w:hAnsiTheme="majorHAnsi" w:cs="Arial"/>
          <w:sz w:val="22"/>
          <w:szCs w:val="22"/>
        </w:rPr>
        <w:lastRenderedPageBreak/>
        <w:t>mais difíceis de responder à medida que o tempo transcorre, quando a memória e a documentação correspondente podem estar menos acessíveis.</w:t>
      </w:r>
    </w:p>
    <w:p w14:paraId="1D715FB8"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Assim, deve-se evitar ao máximo estimativas genéricas, sem respaldo em elementos técnicos que evidenciem a exata correlação entre a quantidade estimada e a demanda.</w:t>
      </w:r>
    </w:p>
    <w:p w14:paraId="2171D336"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26C08F6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4449C1D3"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5C9D94F7" w14:textId="77777777" w:rsidR="00241269" w:rsidRPr="00B3158B" w:rsidRDefault="00241269" w:rsidP="00241269">
      <w:pPr>
        <w:pStyle w:val="Ttulo5"/>
        <w:tabs>
          <w:tab w:val="left" w:pos="567"/>
          <w:tab w:val="left" w:pos="2552"/>
        </w:tabs>
        <w:ind w:left="567" w:firstLine="425"/>
        <w:rPr>
          <w:rFonts w:asciiTheme="majorHAnsi" w:hAnsiTheme="majorHAnsi" w:cs="Arial"/>
          <w:color w:val="auto"/>
          <w:sz w:val="22"/>
          <w:szCs w:val="22"/>
        </w:rPr>
      </w:pPr>
      <w:r w:rsidRPr="00B3158B">
        <w:rPr>
          <w:rFonts w:asciiTheme="majorHAnsi" w:hAnsiTheme="majorHAnsi" w:cs="Arial"/>
          <w:color w:val="auto"/>
          <w:sz w:val="22"/>
          <w:szCs w:val="22"/>
        </w:rPr>
        <w:t>Parcelamento do objeto da contratação</w:t>
      </w:r>
    </w:p>
    <w:p w14:paraId="2468B55A"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Via de regra, as aquisições da Administração Pública devem atender ao princípio do parcelamento, que deverá ser adotado quando for tecnicamente viável e economicamente vantajoso, conforme artigo 40, inciso V, alínea b, da Lei nº 14.133, de 2021:</w:t>
      </w:r>
    </w:p>
    <w:p w14:paraId="60020D91"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40. O planejamento de compras deverá considerar a expectativa de consumo anual e observar o seguinte:</w:t>
      </w:r>
    </w:p>
    <w:p w14:paraId="49CF65A4"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347B28FC"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V - </w:t>
      </w:r>
      <w:proofErr w:type="gramStart"/>
      <w:r w:rsidRPr="008661FC">
        <w:rPr>
          <w:rFonts w:asciiTheme="majorHAnsi" w:hAnsiTheme="majorHAnsi" w:cs="Arial"/>
          <w:i/>
          <w:iCs/>
          <w:sz w:val="20"/>
        </w:rPr>
        <w:t>atendimento</w:t>
      </w:r>
      <w:proofErr w:type="gramEnd"/>
      <w:r w:rsidRPr="008661FC">
        <w:rPr>
          <w:rFonts w:asciiTheme="majorHAnsi" w:hAnsiTheme="majorHAnsi" w:cs="Arial"/>
          <w:i/>
          <w:iCs/>
          <w:sz w:val="20"/>
        </w:rPr>
        <w:t xml:space="preserve"> aos princípios:</w:t>
      </w:r>
    </w:p>
    <w:p w14:paraId="73E00E4E"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 da padronização, considerada a compatibilidade de especificações estéticas, técnicas ou de desempenho;</w:t>
      </w:r>
    </w:p>
    <w:p w14:paraId="7591C077" w14:textId="77777777" w:rsidR="00241269" w:rsidRPr="008661FC" w:rsidRDefault="00241269" w:rsidP="00241269">
      <w:pPr>
        <w:pStyle w:val="Citao"/>
        <w:tabs>
          <w:tab w:val="left" w:pos="567"/>
          <w:tab w:val="left" w:pos="2552"/>
        </w:tabs>
        <w:ind w:left="567"/>
        <w:rPr>
          <w:rFonts w:asciiTheme="majorHAnsi" w:hAnsiTheme="majorHAnsi" w:cs="Arial"/>
          <w:b/>
          <w:bCs/>
          <w:i/>
          <w:iCs/>
          <w:sz w:val="20"/>
        </w:rPr>
      </w:pPr>
      <w:r w:rsidRPr="008661FC">
        <w:rPr>
          <w:rFonts w:asciiTheme="majorHAnsi" w:hAnsiTheme="majorHAnsi" w:cs="Arial"/>
          <w:b/>
          <w:bCs/>
          <w:i/>
          <w:iCs/>
          <w:sz w:val="20"/>
        </w:rPr>
        <w:t>b) do parcelamento, quando for tecnicamente viável e economicamente vantajoso;</w:t>
      </w:r>
    </w:p>
    <w:p w14:paraId="7391986D"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c) da responsabilidade fiscal, mediante a comparação da despesa estimada com a prevista no orçamento.</w:t>
      </w:r>
    </w:p>
    <w:p w14:paraId="33918FE6"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(grifou-se)</w:t>
      </w:r>
    </w:p>
    <w:p w14:paraId="724A3F98"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Ocorre que o parcelamento deve ser adotado levando-se em consideração alguns critérios objetivos, descritos no §2º do dispositivo citado:</w:t>
      </w:r>
    </w:p>
    <w:p w14:paraId="2576B0A4"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2º Na aplicação do princípio do parcelamento, referente às compras, deverão ser considerados:</w:t>
      </w:r>
    </w:p>
    <w:p w14:paraId="55635852"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I - </w:t>
      </w:r>
      <w:bookmarkStart w:id="6" w:name="_Int_3EwwwrKW"/>
      <w:proofErr w:type="gramStart"/>
      <w:r w:rsidRPr="00B3158B">
        <w:rPr>
          <w:rFonts w:asciiTheme="majorHAnsi" w:hAnsiTheme="majorHAnsi" w:cs="Arial"/>
          <w:sz w:val="22"/>
          <w:szCs w:val="22"/>
        </w:rPr>
        <w:t>a</w:t>
      </w:r>
      <w:bookmarkEnd w:id="6"/>
      <w:proofErr w:type="gramEnd"/>
      <w:r w:rsidRPr="00B3158B">
        <w:rPr>
          <w:rFonts w:asciiTheme="majorHAnsi" w:hAnsiTheme="majorHAnsi" w:cs="Arial"/>
          <w:sz w:val="22"/>
          <w:szCs w:val="22"/>
        </w:rPr>
        <w:t xml:space="preserve"> viabilidade da divisão do objeto em lotes;</w:t>
      </w:r>
    </w:p>
    <w:p w14:paraId="5F402C56"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II - </w:t>
      </w:r>
      <w:bookmarkStart w:id="7" w:name="_Int_y1zXIYCm"/>
      <w:proofErr w:type="gramStart"/>
      <w:r w:rsidRPr="00B3158B">
        <w:rPr>
          <w:rFonts w:asciiTheme="majorHAnsi" w:hAnsiTheme="majorHAnsi" w:cs="Arial"/>
          <w:sz w:val="22"/>
          <w:szCs w:val="22"/>
        </w:rPr>
        <w:t>o</w:t>
      </w:r>
      <w:bookmarkEnd w:id="7"/>
      <w:proofErr w:type="gramEnd"/>
      <w:r w:rsidRPr="00B3158B">
        <w:rPr>
          <w:rFonts w:asciiTheme="majorHAnsi" w:hAnsiTheme="majorHAnsi" w:cs="Arial"/>
          <w:sz w:val="22"/>
          <w:szCs w:val="22"/>
        </w:rPr>
        <w:t xml:space="preserve"> aproveitamento das peculiaridades do mercado local, com vistas à economicidade, sempre que possível, desde que atendidos os parâmetros de qualidade; e</w:t>
      </w:r>
    </w:p>
    <w:p w14:paraId="3BF1C452"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III - o dever de buscar a ampliação da competição e de evitar a concentração de mercado.</w:t>
      </w:r>
    </w:p>
    <w:p w14:paraId="450558E7"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lastRenderedPageBreak/>
        <w:t>Por outro lado, há situações em que a lei expressamente restringe a possibilidade de parcelamento do objeto, conforme situações descritas no mesmo art. 40, em seu parágrafo terceiro:</w:t>
      </w:r>
    </w:p>
    <w:p w14:paraId="79306AF5"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3º O parcelamento não será adotado quando:</w:t>
      </w:r>
    </w:p>
    <w:p w14:paraId="51843F6D"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 - </w:t>
      </w:r>
      <w:bookmarkStart w:id="8" w:name="_Int_ZBWwngNe"/>
      <w:proofErr w:type="gramStart"/>
      <w:r w:rsidRPr="008661FC">
        <w:rPr>
          <w:rFonts w:asciiTheme="majorHAnsi" w:hAnsiTheme="majorHAnsi" w:cs="Arial"/>
          <w:i/>
          <w:iCs/>
          <w:sz w:val="20"/>
        </w:rPr>
        <w:t>a</w:t>
      </w:r>
      <w:bookmarkEnd w:id="8"/>
      <w:proofErr w:type="gramEnd"/>
      <w:r w:rsidRPr="008661FC">
        <w:rPr>
          <w:rFonts w:asciiTheme="majorHAnsi" w:hAnsiTheme="majorHAnsi" w:cs="Arial"/>
          <w:i/>
          <w:iCs/>
          <w:sz w:val="20"/>
        </w:rPr>
        <w:t xml:space="preserve"> economia de escala, a redução de custos de gestão de contratos ou a maior vantagem na contratação recomendar a compra do item do mesmo fornecedor;</w:t>
      </w:r>
    </w:p>
    <w:p w14:paraId="59820D57"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II - </w:t>
      </w:r>
      <w:bookmarkStart w:id="9" w:name="_Int_zh6P9JKX"/>
      <w:proofErr w:type="gramStart"/>
      <w:r w:rsidRPr="008661FC">
        <w:rPr>
          <w:rFonts w:asciiTheme="majorHAnsi" w:hAnsiTheme="majorHAnsi" w:cs="Arial"/>
          <w:i/>
          <w:iCs/>
          <w:sz w:val="20"/>
        </w:rPr>
        <w:t>o</w:t>
      </w:r>
      <w:bookmarkEnd w:id="9"/>
      <w:proofErr w:type="gramEnd"/>
      <w:r w:rsidRPr="008661FC">
        <w:rPr>
          <w:rFonts w:asciiTheme="majorHAnsi" w:hAnsiTheme="majorHAnsi" w:cs="Arial"/>
          <w:i/>
          <w:iCs/>
          <w:sz w:val="20"/>
        </w:rPr>
        <w:t xml:space="preserve"> objeto a ser contratado configurar sistema único e integrado e houver a possibilidade de risco ao conjunto do objeto pretendido;</w:t>
      </w:r>
    </w:p>
    <w:p w14:paraId="6D46AD27"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III - o processo de padronização ou de escolha de marca levar a fornecedor exclusivo.</w:t>
      </w:r>
    </w:p>
    <w:p w14:paraId="4B6D963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Como critério conceitual, o artigo 87 do Código Civil preceitua:</w:t>
      </w:r>
    </w:p>
    <w:p w14:paraId="4629CA13"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Bens divisíveis são os que se podem fracionar sem alteração na sua substância, diminuição considerável de valor, ou prejuízo do uso a que se destinam.</w:t>
      </w:r>
    </w:p>
    <w:p w14:paraId="4C3A16EA"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Em vista disso, e de uma forma geral, as licitações em que o objeto é disposto em um item apenas, ou em que os vários objetos são dispostos em vários itens, com disputa e adjudicação independentes entre si, tendem a observar o princípio do parcelamento, desde que </w:t>
      </w:r>
      <w:bookmarkStart w:id="10" w:name="_Int_4j0nEAk7"/>
      <w:proofErr w:type="gramStart"/>
      <w:r w:rsidRPr="00B3158B">
        <w:rPr>
          <w:rFonts w:asciiTheme="majorHAnsi" w:hAnsiTheme="majorHAnsi" w:cs="Arial"/>
          <w:sz w:val="22"/>
          <w:szCs w:val="22"/>
        </w:rPr>
        <w:t>cada um dos objetos dos itens sejam</w:t>
      </w:r>
      <w:bookmarkEnd w:id="10"/>
      <w:proofErr w:type="gramEnd"/>
      <w:r w:rsidRPr="00B3158B">
        <w:rPr>
          <w:rFonts w:asciiTheme="majorHAnsi" w:hAnsiTheme="majorHAnsi" w:cs="Arial"/>
          <w:sz w:val="22"/>
          <w:szCs w:val="22"/>
        </w:rPr>
        <w:t xml:space="preserve"> considerados indivisíveis, o que deve ser esclarecido pelo órgão.</w:t>
      </w:r>
    </w:p>
    <w:p w14:paraId="3E7B1AE2" w14:textId="77777777" w:rsidR="00241269" w:rsidRPr="00B3158B" w:rsidRDefault="00241269" w:rsidP="0024126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Orçamento Estimado e Pesquisa de Preços</w:t>
      </w:r>
    </w:p>
    <w:p w14:paraId="13C32958"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No presente caso, foi realizada a estimativa do valor da contratação, com indicação da observância do parâmetro previsto no art. 23, §1º da Lei nº 14.133, de 2021, materializada em documento que busca observar as exigências legais.</w:t>
      </w:r>
    </w:p>
    <w:p w14:paraId="4115D542"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7DA318F8" w14:textId="77777777" w:rsidR="00241269" w:rsidRPr="00B3158B" w:rsidRDefault="00241269" w:rsidP="00241269">
      <w:pPr>
        <w:pStyle w:val="PargrafoParecer"/>
        <w:tabs>
          <w:tab w:val="left" w:pos="567"/>
          <w:tab w:val="left" w:pos="2552"/>
        </w:tabs>
        <w:ind w:left="567" w:firstLine="425"/>
        <w:rPr>
          <w:rFonts w:asciiTheme="majorHAnsi" w:hAnsiTheme="majorHAnsi" w:cs="Arial"/>
          <w:bCs/>
          <w:sz w:val="22"/>
          <w:szCs w:val="22"/>
        </w:rPr>
      </w:pPr>
      <w:r w:rsidRPr="00B3158B">
        <w:rPr>
          <w:rFonts w:asciiTheme="majorHAnsi" w:hAnsiTheme="majorHAnsi" w:cs="Arial"/>
          <w:sz w:val="22"/>
          <w:szCs w:val="22"/>
        </w:rPr>
        <w:t xml:space="preserve">No caso concreto, </w:t>
      </w:r>
      <w:r w:rsidRPr="00B3158B">
        <w:rPr>
          <w:rFonts w:asciiTheme="majorHAnsi" w:hAnsiTheme="majorHAnsi" w:cs="Arial"/>
          <w:b/>
          <w:bCs/>
          <w:sz w:val="22"/>
          <w:szCs w:val="22"/>
        </w:rPr>
        <w:t xml:space="preserve">houve </w:t>
      </w:r>
      <w:r w:rsidRPr="00B3158B">
        <w:rPr>
          <w:rFonts w:asciiTheme="majorHAnsi" w:hAnsiTheme="majorHAnsi" w:cs="Arial"/>
          <w:sz w:val="22"/>
          <w:szCs w:val="22"/>
        </w:rPr>
        <w:t>realização de pesquisa nos termos descritos nas normas aplicáveis.</w:t>
      </w:r>
    </w:p>
    <w:p w14:paraId="7501D3AF" w14:textId="77777777" w:rsidR="00241269" w:rsidRPr="00B3158B" w:rsidRDefault="00241269" w:rsidP="00241269">
      <w:pPr>
        <w:pStyle w:val="Ttulo2"/>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Termo de Referência</w:t>
      </w:r>
    </w:p>
    <w:p w14:paraId="6222C87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termo de referência foi juntado aos autos e reúne cláusulas e condições essenciais exigidas nos instrumentos da espécie.</w:t>
      </w:r>
    </w:p>
    <w:p w14:paraId="6B72ADF0"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Termo de Referência deve contemplar as exigências do artigo 6º, XXIII, da Lei nº 14.133, de 2022:</w:t>
      </w:r>
    </w:p>
    <w:p w14:paraId="2987CF6B"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6º Para os fins desta Lei, consideram-se:</w:t>
      </w:r>
    </w:p>
    <w:p w14:paraId="5A2CFFD4"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0B5F5E8E"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XXIII - termo de referência: documento necessário para a contratação de bens e serviços, que deve conter os seguintes parâmetros e elementos descritivos:</w:t>
      </w:r>
    </w:p>
    <w:p w14:paraId="64BB2EB2"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 definição do objeto, incluídos sua natureza, os quantitativos, o prazo do contrato e, se for o caso, a possibilidade de sua prorrogação;</w:t>
      </w:r>
    </w:p>
    <w:p w14:paraId="7BFB5CF2" w14:textId="77777777" w:rsidR="00241269"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b) fundamentação da contratação, que consiste na referência aos estudos técnicos preliminares correspondentes ou, quando não for possível divulgar esses estudos, no extrato das partes que não contiverem informações sigilosas;</w:t>
      </w:r>
    </w:p>
    <w:p w14:paraId="61185B4F" w14:textId="77777777" w:rsidR="0009386E" w:rsidRPr="0009386E" w:rsidRDefault="0009386E" w:rsidP="0009386E">
      <w:pPr>
        <w:rPr>
          <w:lang w:eastAsia="ar-SA"/>
        </w:rPr>
      </w:pPr>
    </w:p>
    <w:p w14:paraId="75299A89"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lastRenderedPageBreak/>
        <w:t>c) descrição da solução como um todo, considerado todo o ciclo de vida do objeto;</w:t>
      </w:r>
    </w:p>
    <w:p w14:paraId="581A65E4"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d) requisitos da contratação;</w:t>
      </w:r>
    </w:p>
    <w:p w14:paraId="07C3B9DE"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e) modelo de execução do objeto, que consiste na definição de como o contrato deverá produzir os resultados pretendidos desde o seu início até o seu encerramento;</w:t>
      </w:r>
    </w:p>
    <w:p w14:paraId="7ABE2B8C"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f) modelo de gestão do contrato, que descreve como a execução do objeto será acompanhada e fiscalizada pelo órgão ou entidade;</w:t>
      </w:r>
    </w:p>
    <w:p w14:paraId="6C999903"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g) critérios de medição e de pagamento;</w:t>
      </w:r>
    </w:p>
    <w:p w14:paraId="5B8FEB5E"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h) forma e critérios de seleção do fornecedor;</w:t>
      </w:r>
    </w:p>
    <w:p w14:paraId="3B4568EA"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70D6A4D5"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j) adequação orçamentária;</w:t>
      </w:r>
    </w:p>
    <w:p w14:paraId="757E78AF" w14:textId="77777777" w:rsidR="00241269" w:rsidRPr="008661FC" w:rsidRDefault="00241269" w:rsidP="0024126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0FE8D4C7"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Especificamente em relação a compras, também devem ser observadas as exigências do art. 40, §1º, da Lei nº 14.133, de 2021:</w:t>
      </w:r>
    </w:p>
    <w:p w14:paraId="72378BDD"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Art. 40. O planejamento de compras deverá considerar a expectativa de consumo anual e observar o seguinte:</w:t>
      </w:r>
    </w:p>
    <w:p w14:paraId="57FD989E"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w:t>
      </w:r>
    </w:p>
    <w:p w14:paraId="36D4BEA4"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 xml:space="preserve">§ 1º O termo de referência deverá conter os elementos previstos no </w:t>
      </w:r>
      <w:hyperlink r:id="rId7" w:anchor="art6xxiii">
        <w:r w:rsidRPr="008661FC">
          <w:rPr>
            <w:rStyle w:val="Hyperlink"/>
            <w:rFonts w:asciiTheme="majorHAnsi" w:hAnsiTheme="majorHAnsi" w:cs="Arial"/>
            <w:i/>
            <w:iCs/>
            <w:sz w:val="20"/>
          </w:rPr>
          <w:t xml:space="preserve">inciso XXIII do </w:t>
        </w:r>
        <w:r w:rsidRPr="008661FC">
          <w:rPr>
            <w:rStyle w:val="Hyperlink"/>
            <w:rFonts w:asciiTheme="majorHAnsi" w:hAnsiTheme="majorHAnsi" w:cs="Arial"/>
            <w:b/>
            <w:bCs/>
            <w:i/>
            <w:iCs/>
            <w:sz w:val="20"/>
          </w:rPr>
          <w:t>caput</w:t>
        </w:r>
        <w:r w:rsidRPr="008661FC">
          <w:rPr>
            <w:rStyle w:val="Hyperlink"/>
            <w:rFonts w:asciiTheme="majorHAnsi" w:hAnsiTheme="majorHAnsi" w:cs="Arial"/>
            <w:i/>
            <w:iCs/>
            <w:sz w:val="20"/>
          </w:rPr>
          <w:t xml:space="preserve"> do art. 6º desta Lei</w:t>
        </w:r>
      </w:hyperlink>
      <w:r w:rsidRPr="008661FC">
        <w:rPr>
          <w:rFonts w:asciiTheme="majorHAnsi" w:hAnsiTheme="majorHAnsi" w:cs="Arial"/>
          <w:i/>
          <w:iCs/>
          <w:sz w:val="20"/>
        </w:rPr>
        <w:t>, além das seguintes informações:</w:t>
      </w:r>
    </w:p>
    <w:p w14:paraId="1AA259DF"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 xml:space="preserve">I - </w:t>
      </w:r>
      <w:bookmarkStart w:id="11" w:name="_Int_ahfLpXXb"/>
      <w:proofErr w:type="gramStart"/>
      <w:r w:rsidRPr="008661FC">
        <w:rPr>
          <w:rFonts w:asciiTheme="majorHAnsi" w:hAnsiTheme="majorHAnsi" w:cs="Arial"/>
          <w:i/>
          <w:iCs/>
          <w:sz w:val="20"/>
        </w:rPr>
        <w:t>especificação</w:t>
      </w:r>
      <w:bookmarkEnd w:id="11"/>
      <w:proofErr w:type="gramEnd"/>
      <w:r w:rsidRPr="008661FC">
        <w:rPr>
          <w:rFonts w:asciiTheme="majorHAnsi" w:hAnsiTheme="majorHAnsi" w:cs="Arial"/>
          <w:i/>
          <w:iCs/>
          <w:sz w:val="20"/>
        </w:rPr>
        <w:t xml:space="preserve"> do produto, preferencialmente conforme catálogo eletrônico de padronização, observados os requisitos de qualidade, rendimento, compatibilidade, durabilidade e segurança;</w:t>
      </w:r>
    </w:p>
    <w:p w14:paraId="615E6DA4"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 xml:space="preserve">II - </w:t>
      </w:r>
      <w:bookmarkStart w:id="12" w:name="_Int_MYUXNTlp"/>
      <w:proofErr w:type="gramStart"/>
      <w:r w:rsidRPr="008661FC">
        <w:rPr>
          <w:rFonts w:asciiTheme="majorHAnsi" w:hAnsiTheme="majorHAnsi" w:cs="Arial"/>
          <w:i/>
          <w:iCs/>
          <w:sz w:val="20"/>
        </w:rPr>
        <w:t>indicação</w:t>
      </w:r>
      <w:bookmarkEnd w:id="12"/>
      <w:proofErr w:type="gramEnd"/>
      <w:r w:rsidRPr="008661FC">
        <w:rPr>
          <w:rFonts w:asciiTheme="majorHAnsi" w:hAnsiTheme="majorHAnsi" w:cs="Arial"/>
          <w:i/>
          <w:iCs/>
          <w:sz w:val="20"/>
        </w:rPr>
        <w:t xml:space="preserve"> dos locais de entrega dos produtos e das regras para recebimentos provisório e definitivo, quando for o caso;</w:t>
      </w:r>
    </w:p>
    <w:p w14:paraId="7EA11E2A"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III - especificação da garantia exigida e das condições de manutenção e assistência técnica, quando for o caso.</w:t>
      </w:r>
    </w:p>
    <w:p w14:paraId="060F3F8D" w14:textId="77777777" w:rsidR="00241269" w:rsidRPr="008661FC" w:rsidRDefault="00241269" w:rsidP="0009386E">
      <w:pPr>
        <w:pStyle w:val="Citao"/>
        <w:tabs>
          <w:tab w:val="left" w:pos="2552"/>
        </w:tabs>
        <w:ind w:left="3969" w:firstLine="0"/>
        <w:rPr>
          <w:rFonts w:asciiTheme="majorHAnsi" w:hAnsiTheme="majorHAnsi" w:cs="Arial"/>
          <w:i/>
          <w:iCs/>
          <w:sz w:val="20"/>
        </w:rPr>
      </w:pPr>
      <w:r w:rsidRPr="008661FC">
        <w:rPr>
          <w:rFonts w:asciiTheme="majorHAnsi" w:hAnsiTheme="majorHAnsi" w:cs="Arial"/>
          <w:i/>
          <w:iCs/>
          <w:sz w:val="20"/>
        </w:rPr>
        <w:t>(...)</w:t>
      </w:r>
    </w:p>
    <w:p w14:paraId="1205B54E"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7AD6ED0" w14:textId="77777777" w:rsidR="00241269" w:rsidRPr="00B3158B" w:rsidRDefault="00241269" w:rsidP="00241269">
      <w:pPr>
        <w:pStyle w:val="PargrafoParecer"/>
        <w:tabs>
          <w:tab w:val="left" w:pos="567"/>
          <w:tab w:val="left" w:pos="2552"/>
        </w:tabs>
        <w:ind w:left="567" w:firstLine="425"/>
        <w:rPr>
          <w:rStyle w:val="normaltextrun"/>
          <w:rFonts w:asciiTheme="majorHAnsi" w:hAnsiTheme="majorHAnsi" w:cs="Arial"/>
          <w:sz w:val="22"/>
          <w:szCs w:val="22"/>
        </w:rPr>
      </w:pPr>
      <w:r w:rsidRPr="00B3158B">
        <w:rPr>
          <w:rStyle w:val="normaltextrun"/>
          <w:rFonts w:asciiTheme="majorHAnsi" w:hAnsiTheme="majorHAnsi" w:cs="Arial"/>
          <w:sz w:val="22"/>
          <w:szCs w:val="22"/>
        </w:rPr>
        <w:t>No caso vertente, o Órgão assessorado justificou a não incidência de previsões de sustentabilidade no Termo de Referência.</w:t>
      </w:r>
    </w:p>
    <w:p w14:paraId="197C83DD" w14:textId="77777777" w:rsidR="00241269" w:rsidRPr="00B3158B" w:rsidRDefault="00241269" w:rsidP="0024126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Da natureza comum do objeto da licitação</w:t>
      </w:r>
    </w:p>
    <w:p w14:paraId="58DB665D" w14:textId="77777777" w:rsidR="00241269"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Compete à administração declarar que o objeto licitatório é de natureza comum, haja vista que a licitação por pregão somente é obrigatória para </w:t>
      </w:r>
      <w:r w:rsidRPr="00B3158B">
        <w:rPr>
          <w:rFonts w:asciiTheme="majorHAnsi" w:hAnsiTheme="majorHAnsi" w:cs="Arial"/>
          <w:i/>
          <w:iCs/>
          <w:sz w:val="22"/>
          <w:szCs w:val="22"/>
        </w:rPr>
        <w:t>aquisição de bens e serviços comuns, cujo critério de julgamento poderá ser o de menor preço ou o de maior desconto</w:t>
      </w:r>
      <w:r w:rsidRPr="00B3158B">
        <w:rPr>
          <w:rFonts w:asciiTheme="majorHAnsi" w:hAnsiTheme="majorHAnsi" w:cs="Arial"/>
          <w:sz w:val="22"/>
          <w:szCs w:val="22"/>
        </w:rPr>
        <w:t>, conforme consta do art. 6º, inciso XLI, da Lei nº 14.133, de 2021.</w:t>
      </w:r>
    </w:p>
    <w:p w14:paraId="7FB8862F" w14:textId="77777777" w:rsidR="0009386E" w:rsidRPr="00B3158B" w:rsidRDefault="0009386E" w:rsidP="0009386E">
      <w:pPr>
        <w:pStyle w:val="PargrafoParecer"/>
        <w:numPr>
          <w:ilvl w:val="0"/>
          <w:numId w:val="0"/>
        </w:numPr>
        <w:tabs>
          <w:tab w:val="left" w:pos="567"/>
          <w:tab w:val="left" w:pos="2552"/>
        </w:tabs>
        <w:ind w:left="992"/>
        <w:rPr>
          <w:rFonts w:asciiTheme="majorHAnsi" w:hAnsiTheme="majorHAnsi" w:cs="Arial"/>
          <w:sz w:val="22"/>
          <w:szCs w:val="22"/>
        </w:rPr>
      </w:pPr>
    </w:p>
    <w:p w14:paraId="73F2D6A6"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lastRenderedPageBreak/>
        <w:t>A definição de bens e serviços comuns pode ser extraída diretamente da Lei nº 14.133, de 2021, que apresenta tal conceito nos seguintes termos:</w:t>
      </w:r>
    </w:p>
    <w:p w14:paraId="4621887A" w14:textId="77777777" w:rsidR="00241269" w:rsidRPr="008661FC" w:rsidRDefault="00241269" w:rsidP="0009386E">
      <w:pPr>
        <w:pStyle w:val="Citao"/>
        <w:tabs>
          <w:tab w:val="left" w:pos="993"/>
          <w:tab w:val="left" w:pos="2552"/>
        </w:tabs>
        <w:ind w:left="3969" w:firstLine="0"/>
        <w:rPr>
          <w:rFonts w:asciiTheme="majorHAnsi" w:hAnsiTheme="majorHAnsi" w:cs="Arial"/>
          <w:i/>
          <w:iCs/>
          <w:sz w:val="20"/>
        </w:rPr>
      </w:pPr>
      <w:r w:rsidRPr="008661FC">
        <w:rPr>
          <w:rFonts w:asciiTheme="majorHAnsi" w:hAnsiTheme="majorHAnsi" w:cs="Arial"/>
          <w:i/>
          <w:iCs/>
          <w:sz w:val="20"/>
        </w:rPr>
        <w:t>Art. 6º Para os fins desta Lei, consideram-se:</w:t>
      </w:r>
    </w:p>
    <w:p w14:paraId="0F7D9900" w14:textId="77777777" w:rsidR="00241269" w:rsidRPr="008661FC" w:rsidRDefault="00241269" w:rsidP="0009386E">
      <w:pPr>
        <w:pStyle w:val="Citao"/>
        <w:tabs>
          <w:tab w:val="left" w:pos="993"/>
          <w:tab w:val="left" w:pos="2552"/>
        </w:tabs>
        <w:ind w:left="3969" w:firstLine="0"/>
        <w:rPr>
          <w:rFonts w:asciiTheme="majorHAnsi" w:hAnsiTheme="majorHAnsi" w:cs="Arial"/>
          <w:i/>
          <w:iCs/>
          <w:sz w:val="20"/>
        </w:rPr>
      </w:pPr>
      <w:r w:rsidRPr="008661FC">
        <w:rPr>
          <w:rFonts w:asciiTheme="majorHAnsi" w:hAnsiTheme="majorHAnsi" w:cs="Arial"/>
          <w:i/>
          <w:iCs/>
          <w:sz w:val="20"/>
        </w:rPr>
        <w:t>(...)</w:t>
      </w:r>
    </w:p>
    <w:p w14:paraId="60633EF5" w14:textId="77777777" w:rsidR="00241269" w:rsidRPr="008661FC" w:rsidRDefault="00241269" w:rsidP="0009386E">
      <w:pPr>
        <w:pStyle w:val="Citao"/>
        <w:tabs>
          <w:tab w:val="left" w:pos="993"/>
          <w:tab w:val="left" w:pos="2552"/>
        </w:tabs>
        <w:ind w:left="3969" w:firstLine="0"/>
        <w:rPr>
          <w:rFonts w:asciiTheme="majorHAnsi" w:hAnsiTheme="majorHAnsi" w:cs="Arial"/>
          <w:i/>
          <w:iCs/>
          <w:sz w:val="20"/>
        </w:rPr>
      </w:pPr>
      <w:r w:rsidRPr="008661FC">
        <w:rPr>
          <w:rFonts w:asciiTheme="majorHAnsi" w:hAnsiTheme="majorHAnsi" w:cs="Arial"/>
          <w:i/>
          <w:iCs/>
          <w:sz w:val="20"/>
        </w:rPr>
        <w:t>XIII - bens e serviços comuns: aqueles cujos padrões de desempenho e qualidade podem ser objetivamente definidos pelo edital, por meio de especificações usuais de mercado;</w:t>
      </w:r>
    </w:p>
    <w:p w14:paraId="5A73326A" w14:textId="77777777" w:rsidR="00241269" w:rsidRPr="008661FC" w:rsidRDefault="00241269" w:rsidP="0009386E">
      <w:pPr>
        <w:pStyle w:val="Citao"/>
        <w:tabs>
          <w:tab w:val="left" w:pos="993"/>
          <w:tab w:val="left" w:pos="2552"/>
        </w:tabs>
        <w:ind w:left="3969" w:firstLine="0"/>
        <w:rPr>
          <w:rFonts w:asciiTheme="majorHAnsi" w:hAnsiTheme="majorHAnsi" w:cs="Arial"/>
          <w:i/>
          <w:iCs/>
          <w:sz w:val="20"/>
        </w:rPr>
      </w:pPr>
      <w:r w:rsidRPr="008661FC">
        <w:rPr>
          <w:rFonts w:asciiTheme="majorHAnsi" w:hAnsiTheme="majorHAnsi" w:cs="Arial"/>
          <w:i/>
          <w:iCs/>
          <w:sz w:val="20"/>
        </w:rPr>
        <w:t>(...)</w:t>
      </w:r>
    </w:p>
    <w:p w14:paraId="1061FE8D"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Sobre a necessidade de a Administração declarar a natureza do objeto da contratação, a Orientação Normativa nº 54, de 2014, da Advocacia-Geral da União, dispõe:</w:t>
      </w:r>
    </w:p>
    <w:p w14:paraId="1A6F2C3C" w14:textId="77777777" w:rsidR="00241269" w:rsidRPr="008661FC" w:rsidRDefault="00241269" w:rsidP="0009386E">
      <w:pPr>
        <w:pStyle w:val="Citao"/>
        <w:tabs>
          <w:tab w:val="left" w:pos="709"/>
          <w:tab w:val="left" w:pos="2552"/>
        </w:tabs>
        <w:ind w:left="4111" w:firstLine="0"/>
        <w:rPr>
          <w:rFonts w:asciiTheme="majorHAnsi" w:hAnsiTheme="majorHAnsi" w:cs="Arial"/>
          <w:i/>
          <w:iCs/>
          <w:sz w:val="20"/>
        </w:rPr>
      </w:pPr>
      <w:r w:rsidRPr="008661FC">
        <w:rPr>
          <w:rFonts w:asciiTheme="majorHAnsi" w:hAnsiTheme="majorHAnsi" w:cs="Arial"/>
          <w:i/>
          <w:iCs/>
          <w:sz w:val="20"/>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3600B870"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Embora referida Orientação Normativa tenha sido editada à luz da Lei nº 8.666, de 1993, tem-se que o entendimento jurídico nela consubstanciado é compatível com a Lei nº 14.133, de 2021, motivo pelo qual merece ser observado.</w:t>
      </w:r>
    </w:p>
    <w:p w14:paraId="107EE88C" w14:textId="77777777" w:rsidR="00241269" w:rsidRPr="00B3158B" w:rsidRDefault="00241269" w:rsidP="0024126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Objetividade das exigências de qualificação técnica</w:t>
      </w:r>
    </w:p>
    <w:p w14:paraId="6FABFC2D"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33F648D4"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0A54B7D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w:t>
      </w:r>
    </w:p>
    <w:p w14:paraId="6F1EAB18" w14:textId="77777777" w:rsidR="00241269" w:rsidRPr="00B3158B" w:rsidRDefault="00241269" w:rsidP="0024126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lastRenderedPageBreak/>
        <w:t>Exigências de Qualificação nas hipóteses legais de dispensa, sem justificativa</w:t>
      </w:r>
    </w:p>
    <w:p w14:paraId="0696A3B2"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artigo art. 37, inciso XXI da Constituição Federal, preceitua que “o processo de licitação pública... somente permitirá as exigências de qualificação técnica e econômica indispensáveis à garantia do cumprimento das obrigações.</w:t>
      </w:r>
    </w:p>
    <w:p w14:paraId="5C128D66"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combinação da disposição constitucional com a disposição legal resulta que as exigências de qualificação técnica e econômica nas situações retratadas no art. 70, III, deve ser excepcional e justificada.</w:t>
      </w:r>
    </w:p>
    <w:p w14:paraId="4EC76290"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No caso concreto, apesar de se tratar de hipótese em que o art. 70, III autoriza a dispensa de exigências </w:t>
      </w:r>
      <w:proofErr w:type="spellStart"/>
      <w:r w:rsidRPr="00B3158B">
        <w:rPr>
          <w:rFonts w:asciiTheme="majorHAnsi" w:hAnsiTheme="majorHAnsi" w:cs="Arial"/>
          <w:sz w:val="22"/>
          <w:szCs w:val="22"/>
        </w:rPr>
        <w:t>habilitatórias</w:t>
      </w:r>
      <w:proofErr w:type="spellEnd"/>
      <w:r w:rsidRPr="00B3158B">
        <w:rPr>
          <w:rFonts w:asciiTheme="majorHAnsi" w:hAnsiTheme="majorHAnsi" w:cs="Arial"/>
          <w:sz w:val="22"/>
          <w:szCs w:val="22"/>
        </w:rPr>
        <w:t>, estas foram previstas no TR, sem justificativa para tanto. Recomenda-se que seja avaliada a indispensabilidade dessas, motivando-se as exigências em caso positivo, ou suprimindo-as em caso negativo.</w:t>
      </w:r>
    </w:p>
    <w:p w14:paraId="521D065A" w14:textId="77777777" w:rsidR="00241269" w:rsidRPr="00B3158B" w:rsidRDefault="00241269" w:rsidP="00241269">
      <w:pPr>
        <w:pStyle w:val="PargrafoParecer"/>
        <w:numPr>
          <w:ilvl w:val="0"/>
          <w:numId w:val="0"/>
        </w:numPr>
        <w:tabs>
          <w:tab w:val="left" w:pos="567"/>
          <w:tab w:val="left" w:pos="2552"/>
        </w:tabs>
        <w:ind w:left="567" w:firstLine="425"/>
        <w:rPr>
          <w:rFonts w:asciiTheme="majorHAnsi" w:hAnsiTheme="majorHAnsi" w:cs="Arial"/>
          <w:sz w:val="22"/>
          <w:szCs w:val="22"/>
        </w:rPr>
      </w:pPr>
    </w:p>
    <w:p w14:paraId="3E8994F2" w14:textId="77777777" w:rsidR="00241269" w:rsidRPr="00B3158B" w:rsidRDefault="00241269" w:rsidP="0024126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Adequação orçamentária</w:t>
      </w:r>
    </w:p>
    <w:p w14:paraId="3F23D11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Conforme se extrai do caput do artigo 18 da Lei nº 14.133, de 2021, a fase preparatória da licitação deve compatibilizar-se também com as leis orçamentárias.</w:t>
      </w:r>
    </w:p>
    <w:p w14:paraId="5C1A577E"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799B76AE" w14:textId="77777777" w:rsidR="00241269" w:rsidRPr="00B3158B" w:rsidRDefault="00241269" w:rsidP="00241269">
      <w:pPr>
        <w:pStyle w:val="Citao"/>
        <w:tabs>
          <w:tab w:val="left" w:pos="567"/>
          <w:tab w:val="left" w:pos="2552"/>
        </w:tabs>
        <w:ind w:left="567"/>
        <w:rPr>
          <w:rFonts w:asciiTheme="majorHAnsi" w:hAnsiTheme="majorHAnsi" w:cs="Arial"/>
          <w:b/>
          <w:bCs/>
          <w:sz w:val="22"/>
          <w:szCs w:val="22"/>
        </w:rPr>
      </w:pPr>
      <w:r w:rsidRPr="00B3158B">
        <w:rPr>
          <w:rFonts w:asciiTheme="majorHAnsi" w:hAnsiTheme="majorHAnsi" w:cs="Arial"/>
          <w:b/>
          <w:bCs/>
          <w:sz w:val="22"/>
          <w:szCs w:val="22"/>
        </w:rPr>
        <w:t>Lei nº 8.429, de 1992</w:t>
      </w:r>
    </w:p>
    <w:p w14:paraId="5C24DF5B" w14:textId="77777777" w:rsidR="00241269"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Art. 10. Constitui ato de improbidade administrativa que causa lesão ao erário qualquer ação ou omissão dolosa, que enseje, efetiva e comprovadamente, perda</w:t>
      </w:r>
    </w:p>
    <w:p w14:paraId="0D998080" w14:textId="77777777" w:rsidR="00241269" w:rsidRDefault="00241269" w:rsidP="00241269">
      <w:pPr>
        <w:pStyle w:val="Citao"/>
        <w:tabs>
          <w:tab w:val="left" w:pos="567"/>
          <w:tab w:val="left" w:pos="2552"/>
        </w:tabs>
        <w:ind w:left="567"/>
        <w:rPr>
          <w:rFonts w:asciiTheme="majorHAnsi" w:hAnsiTheme="majorHAnsi" w:cs="Arial"/>
          <w:sz w:val="22"/>
          <w:szCs w:val="22"/>
        </w:rPr>
      </w:pPr>
    </w:p>
    <w:p w14:paraId="54E36B31" w14:textId="77777777" w:rsidR="00241269"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patrimonial, desvio, apropriação, malbaratamento ou dilapidação dos bens ou haveres</w:t>
      </w:r>
    </w:p>
    <w:p w14:paraId="33941596" w14:textId="77777777" w:rsidR="00241269" w:rsidRPr="00B3158B" w:rsidRDefault="00241269" w:rsidP="00241269">
      <w:pPr>
        <w:pStyle w:val="Citao"/>
        <w:tabs>
          <w:tab w:val="left" w:pos="567"/>
          <w:tab w:val="left" w:pos="709"/>
          <w:tab w:val="left" w:pos="2552"/>
        </w:tabs>
        <w:ind w:left="567"/>
        <w:rPr>
          <w:rFonts w:asciiTheme="majorHAnsi" w:hAnsiTheme="majorHAnsi" w:cs="Arial"/>
          <w:sz w:val="22"/>
          <w:szCs w:val="22"/>
        </w:rPr>
      </w:pPr>
      <w:r w:rsidRPr="00B3158B">
        <w:rPr>
          <w:rFonts w:asciiTheme="majorHAnsi" w:hAnsiTheme="majorHAnsi" w:cs="Arial"/>
          <w:sz w:val="22"/>
          <w:szCs w:val="22"/>
        </w:rPr>
        <w:t xml:space="preserve">das entidades referidas no art. 1º desta Lei, e notadamente:        </w:t>
      </w:r>
      <w:hyperlink r:id="rId8" w:anchor="art2">
        <w:r w:rsidRPr="00B3158B">
          <w:rPr>
            <w:rStyle w:val="Hyperlink"/>
            <w:rFonts w:asciiTheme="majorHAnsi" w:hAnsiTheme="majorHAnsi" w:cs="Arial"/>
            <w:sz w:val="22"/>
            <w:szCs w:val="22"/>
          </w:rPr>
          <w:t>(Redação dada pel</w:t>
        </w:r>
        <w:r>
          <w:rPr>
            <w:rStyle w:val="Hyperlink"/>
            <w:rFonts w:asciiTheme="majorHAnsi" w:hAnsiTheme="majorHAnsi" w:cs="Arial"/>
            <w:sz w:val="22"/>
            <w:szCs w:val="22"/>
          </w:rPr>
          <w:t xml:space="preserve">a </w:t>
        </w:r>
        <w:proofErr w:type="spellStart"/>
        <w:r w:rsidRPr="00B3158B">
          <w:rPr>
            <w:rStyle w:val="Hyperlink"/>
            <w:rFonts w:asciiTheme="majorHAnsi" w:hAnsiTheme="majorHAnsi" w:cs="Arial"/>
            <w:sz w:val="22"/>
            <w:szCs w:val="22"/>
          </w:rPr>
          <w:t>Leinº</w:t>
        </w:r>
        <w:proofErr w:type="spellEnd"/>
        <w:r>
          <w:rPr>
            <w:rStyle w:val="Hyperlink"/>
            <w:rFonts w:asciiTheme="majorHAnsi" w:hAnsiTheme="majorHAnsi" w:cs="Arial"/>
            <w:sz w:val="22"/>
            <w:szCs w:val="22"/>
          </w:rPr>
          <w:t xml:space="preserve"> </w:t>
        </w:r>
        <w:r w:rsidRPr="00B3158B">
          <w:rPr>
            <w:rStyle w:val="Hyperlink"/>
            <w:rFonts w:asciiTheme="majorHAnsi" w:hAnsiTheme="majorHAnsi" w:cs="Arial"/>
            <w:sz w:val="22"/>
            <w:szCs w:val="22"/>
          </w:rPr>
          <w:t>14.230, de 2021)</w:t>
        </w:r>
      </w:hyperlink>
    </w:p>
    <w:p w14:paraId="530CECB7"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w:t>
      </w:r>
    </w:p>
    <w:p w14:paraId="31E1FE6D"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IX - </w:t>
      </w:r>
      <w:proofErr w:type="gramStart"/>
      <w:r w:rsidRPr="00B3158B">
        <w:rPr>
          <w:rFonts w:asciiTheme="majorHAnsi" w:hAnsiTheme="majorHAnsi" w:cs="Arial"/>
          <w:sz w:val="22"/>
          <w:szCs w:val="22"/>
        </w:rPr>
        <w:t>ordenar ou permitir</w:t>
      </w:r>
      <w:proofErr w:type="gramEnd"/>
      <w:r w:rsidRPr="00B3158B">
        <w:rPr>
          <w:rFonts w:asciiTheme="majorHAnsi" w:hAnsiTheme="majorHAnsi" w:cs="Arial"/>
          <w:sz w:val="22"/>
          <w:szCs w:val="22"/>
        </w:rPr>
        <w:t xml:space="preserve"> a realização de despesas não autorizadas em lei ou regulamento;</w:t>
      </w:r>
    </w:p>
    <w:p w14:paraId="45EA5C30"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w:t>
      </w:r>
    </w:p>
    <w:p w14:paraId="4ADF66F1" w14:textId="77777777" w:rsidR="00241269" w:rsidRPr="00B3158B" w:rsidRDefault="00241269" w:rsidP="00241269">
      <w:pPr>
        <w:pStyle w:val="Citao"/>
        <w:tabs>
          <w:tab w:val="left" w:pos="567"/>
          <w:tab w:val="left" w:pos="2552"/>
        </w:tabs>
        <w:ind w:left="567"/>
        <w:rPr>
          <w:rFonts w:asciiTheme="majorHAnsi" w:hAnsiTheme="majorHAnsi" w:cs="Arial"/>
          <w:b/>
          <w:bCs/>
          <w:sz w:val="22"/>
          <w:szCs w:val="22"/>
        </w:rPr>
      </w:pPr>
      <w:r w:rsidRPr="00B3158B">
        <w:rPr>
          <w:rFonts w:asciiTheme="majorHAnsi" w:hAnsiTheme="majorHAnsi" w:cs="Arial"/>
          <w:b/>
          <w:bCs/>
          <w:sz w:val="22"/>
          <w:szCs w:val="22"/>
        </w:rPr>
        <w:t>Lei nº 14.133, de 2021</w:t>
      </w:r>
    </w:p>
    <w:p w14:paraId="777D0CA8"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Art. 105. A duração dos contratos regidos por esta Lei será a prevista em edital, e deverão ser observadas, </w:t>
      </w:r>
      <w:r w:rsidRPr="00B3158B">
        <w:rPr>
          <w:rFonts w:asciiTheme="majorHAnsi" w:hAnsiTheme="majorHAnsi" w:cs="Arial"/>
          <w:b/>
          <w:bCs/>
          <w:sz w:val="22"/>
          <w:szCs w:val="22"/>
        </w:rPr>
        <w:t>no momento da contratação e a cada exercício financeiro</w:t>
      </w:r>
      <w:r w:rsidRPr="00B3158B">
        <w:rPr>
          <w:rFonts w:asciiTheme="majorHAnsi" w:hAnsiTheme="majorHAnsi" w:cs="Arial"/>
          <w:sz w:val="22"/>
          <w:szCs w:val="22"/>
        </w:rPr>
        <w:t>, a disponibilidade de créditos orçamentários, bem como a previsão no plano plurianual, quando ultrapassar 1 (um) exercício financeiro.</w:t>
      </w:r>
    </w:p>
    <w:p w14:paraId="135B7275"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(grifou-se)</w:t>
      </w:r>
    </w:p>
    <w:p w14:paraId="3642BBDC"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w:t>
      </w:r>
      <w:r w:rsidRPr="00B3158B">
        <w:rPr>
          <w:rFonts w:asciiTheme="majorHAnsi" w:hAnsiTheme="majorHAnsi" w:cs="Arial"/>
          <w:sz w:val="22"/>
          <w:szCs w:val="22"/>
        </w:rPr>
        <w:lastRenderedPageBreak/>
        <w:t xml:space="preserve">as normas constantes dos </w:t>
      </w:r>
      <w:proofErr w:type="spellStart"/>
      <w:r w:rsidRPr="00B3158B">
        <w:rPr>
          <w:rFonts w:asciiTheme="majorHAnsi" w:hAnsiTheme="majorHAnsi" w:cs="Arial"/>
          <w:sz w:val="22"/>
          <w:szCs w:val="22"/>
        </w:rPr>
        <w:t>arts</w:t>
      </w:r>
      <w:proofErr w:type="spellEnd"/>
      <w:r w:rsidRPr="00B3158B">
        <w:rPr>
          <w:rFonts w:asciiTheme="majorHAnsi" w:hAnsiTheme="majorHAnsi" w:cs="Arial"/>
          <w:sz w:val="22"/>
          <w:szCs w:val="22"/>
        </w:rPr>
        <w:t>. 16 e 17 da Lei Complementar nº 101, de 04 de maio de 2000 – Lei de Responsabilidade Fiscal.</w:t>
      </w:r>
    </w:p>
    <w:p w14:paraId="392DBA18"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B3158B">
        <w:rPr>
          <w:rFonts w:asciiTheme="majorHAnsi" w:hAnsiTheme="majorHAnsi" w:cs="Arial"/>
          <w:sz w:val="22"/>
          <w:szCs w:val="22"/>
        </w:rPr>
        <w:t>arts</w:t>
      </w:r>
      <w:proofErr w:type="spellEnd"/>
      <w:r w:rsidRPr="00B3158B">
        <w:rPr>
          <w:rFonts w:asciiTheme="majorHAnsi" w:hAnsiTheme="majorHAnsi" w:cs="Arial"/>
          <w:sz w:val="22"/>
          <w:szCs w:val="22"/>
        </w:rPr>
        <w:t>. 16 e 17 da Lei Complementar nº 101, de 2000:</w:t>
      </w:r>
    </w:p>
    <w:p w14:paraId="2A48F606" w14:textId="77777777" w:rsidR="00241269" w:rsidRPr="00B3158B" w:rsidRDefault="00241269" w:rsidP="0024126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4C130CB6"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No caso concreto, a Administração </w:t>
      </w:r>
      <w:r w:rsidRPr="00B3158B">
        <w:rPr>
          <w:rFonts w:asciiTheme="majorHAnsi" w:hAnsiTheme="majorHAnsi" w:cs="Arial"/>
          <w:b/>
          <w:bCs/>
          <w:sz w:val="22"/>
          <w:szCs w:val="22"/>
        </w:rPr>
        <w:t>informou que</w:t>
      </w:r>
      <w:r w:rsidRPr="00B3158B">
        <w:rPr>
          <w:rFonts w:asciiTheme="majorHAnsi" w:hAnsiTheme="majorHAnsi" w:cs="Arial"/>
          <w:sz w:val="22"/>
          <w:szCs w:val="22"/>
        </w:rPr>
        <w:t xml:space="preserve"> a despesa decorrente da contratação está devidamente prevista nas leis orçamentárias.</w:t>
      </w:r>
    </w:p>
    <w:p w14:paraId="11DB755E" w14:textId="77777777" w:rsidR="00241269" w:rsidRPr="00B3158B" w:rsidRDefault="00241269" w:rsidP="0024126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Minuta de Edital</w:t>
      </w:r>
    </w:p>
    <w:p w14:paraId="2B32430F"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minuta de edital foi juntada aos autos e reúne cláusulas e condições essenciais exigidas nos instrumentos da espécie.</w:t>
      </w:r>
    </w:p>
    <w:p w14:paraId="42435ADC"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É preciso lembrar que o art. 18, inciso IX, da Lei nº 14.133, de 2021, exige que a fase preparatória seja instruída com motivação circunstanciada das condições do edital, tais como:</w:t>
      </w:r>
    </w:p>
    <w:p w14:paraId="2D017D8B" w14:textId="77777777" w:rsidR="00241269" w:rsidRPr="00B3158B" w:rsidRDefault="00241269" w:rsidP="00241269">
      <w:pPr>
        <w:pStyle w:val="ListaAGU"/>
        <w:numPr>
          <w:ilvl w:val="0"/>
          <w:numId w:val="3"/>
        </w:numP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de exigências de qualificação técnica, mediante indicação das parcelas de maior relevância técnica ou valor significativo do objeto</w:t>
      </w:r>
    </w:p>
    <w:p w14:paraId="2D3A0C3F" w14:textId="77777777" w:rsidR="00241269" w:rsidRPr="00B3158B" w:rsidRDefault="00241269" w:rsidP="00241269">
      <w:pPr>
        <w:pStyle w:val="ListaAGU"/>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de exigências de qualificação econômico-financeira;</w:t>
      </w:r>
    </w:p>
    <w:p w14:paraId="26F4A30E" w14:textId="77777777" w:rsidR="00241269" w:rsidRPr="00B3158B" w:rsidRDefault="00241269" w:rsidP="00241269">
      <w:pPr>
        <w:pStyle w:val="ListaAGU"/>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dos critérios de pontuação e julgamento das propostas técnicas, nas licitações com julgamento por melhor técnica ou técnica e preço; e</w:t>
      </w:r>
    </w:p>
    <w:p w14:paraId="12202595" w14:textId="77777777" w:rsidR="00241269" w:rsidRPr="00B3158B" w:rsidRDefault="00241269" w:rsidP="00241269">
      <w:pPr>
        <w:pStyle w:val="ListaAGU"/>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das regras pertinentes à participação de empresas em consórcio.</w:t>
      </w:r>
    </w:p>
    <w:p w14:paraId="764E8244" w14:textId="77777777" w:rsidR="00241269" w:rsidRPr="00B3158B" w:rsidRDefault="00241269" w:rsidP="0024126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Minuta de termo de contrato</w:t>
      </w:r>
    </w:p>
    <w:p w14:paraId="3CE8734C"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minuta de termo de contrato foi juntada aos autos e reúne cláusulas e condições essenciais exigidas nos instrumentos da espécie.</w:t>
      </w:r>
    </w:p>
    <w:p w14:paraId="3C9C098B" w14:textId="77777777" w:rsidR="00241269" w:rsidRPr="00B3158B" w:rsidRDefault="00241269" w:rsidP="0024126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Designação de agentes públicos</w:t>
      </w:r>
    </w:p>
    <w:p w14:paraId="4926F8A8" w14:textId="77777777" w:rsidR="00241269" w:rsidRPr="00B3158B" w:rsidRDefault="00241269" w:rsidP="00241269">
      <w:pPr>
        <w:pStyle w:val="PargrafoParecer"/>
        <w:tabs>
          <w:tab w:val="left" w:pos="567"/>
          <w:tab w:val="left" w:pos="2552"/>
        </w:tabs>
        <w:ind w:left="567" w:firstLine="425"/>
        <w:rPr>
          <w:rFonts w:asciiTheme="majorHAnsi" w:hAnsiTheme="majorHAnsi" w:cs="Arial"/>
          <w:b/>
          <w:bCs/>
          <w:sz w:val="22"/>
          <w:szCs w:val="22"/>
        </w:rPr>
      </w:pPr>
      <w:r w:rsidRPr="00B3158B">
        <w:rPr>
          <w:rFonts w:asciiTheme="majorHAnsi" w:hAnsiTheme="majorHAnsi" w:cs="Arial"/>
          <w:sz w:val="22"/>
          <w:szCs w:val="22"/>
        </w:rPr>
        <w:t>No presente caso, foram juntados aos autos as portarias de designação do agente de contratação e da equipe de apoio</w:t>
      </w:r>
    </w:p>
    <w:p w14:paraId="771E12BB" w14:textId="77777777" w:rsidR="00241269" w:rsidRPr="00B3158B" w:rsidRDefault="00241269" w:rsidP="0024126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Publicidade do edital e do termo do contrato</w:t>
      </w:r>
    </w:p>
    <w:p w14:paraId="57C177A2"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Destacamos ainda que é obrigatória a divulgação e a manutenção do inteiro teor do edital de licitação e dos seus anexos e </w:t>
      </w:r>
      <w:r w:rsidRPr="00B3158B">
        <w:rPr>
          <w:rFonts w:asciiTheme="majorHAnsi" w:hAnsiTheme="majorHAnsi" w:cs="Arial"/>
          <w:b/>
          <w:bCs/>
          <w:sz w:val="22"/>
          <w:szCs w:val="22"/>
        </w:rPr>
        <w:t>do termo de contrato</w:t>
      </w:r>
      <w:r w:rsidRPr="00B3158B">
        <w:rPr>
          <w:rFonts w:asciiTheme="majorHAnsi" w:hAnsiTheme="majorHAnsi" w:cs="Arial"/>
          <w:sz w:val="22"/>
          <w:szCs w:val="22"/>
        </w:rPr>
        <w:t xml:space="preserve"> no Portal Nacional de Contratações Públicas e a publicação de extrato do edital no Diário Oficial, conforme determinam os art. 54, </w:t>
      </w:r>
      <w:r w:rsidRPr="00B3158B">
        <w:rPr>
          <w:rFonts w:asciiTheme="majorHAnsi" w:hAnsiTheme="majorHAnsi" w:cs="Arial"/>
          <w:i/>
          <w:iCs/>
          <w:sz w:val="22"/>
          <w:szCs w:val="22"/>
        </w:rPr>
        <w:t xml:space="preserve">caput </w:t>
      </w:r>
      <w:r w:rsidRPr="00B3158B">
        <w:rPr>
          <w:rFonts w:asciiTheme="majorHAnsi" w:hAnsiTheme="majorHAnsi" w:cs="Arial"/>
          <w:sz w:val="22"/>
          <w:szCs w:val="22"/>
        </w:rPr>
        <w:t xml:space="preserve">e §1º, e </w:t>
      </w:r>
      <w:r w:rsidRPr="00B3158B">
        <w:rPr>
          <w:rFonts w:asciiTheme="majorHAnsi" w:hAnsiTheme="majorHAnsi" w:cs="Arial"/>
          <w:b/>
          <w:bCs/>
          <w:sz w:val="22"/>
          <w:szCs w:val="22"/>
        </w:rPr>
        <w:t>art. 94</w:t>
      </w:r>
      <w:r w:rsidRPr="00B3158B">
        <w:rPr>
          <w:rFonts w:asciiTheme="majorHAnsi" w:hAnsiTheme="majorHAnsi" w:cs="Arial"/>
          <w:sz w:val="22"/>
          <w:szCs w:val="22"/>
        </w:rPr>
        <w:t xml:space="preserve"> da Lei nº 14.133, de 2021.</w:t>
      </w:r>
    </w:p>
    <w:p w14:paraId="34176AAD"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Destacamos também que, após a homologação do processo licitatório, é obrigatória a disponibilização no Portal Nacional de Contratações Públicas (PNCP) dos </w:t>
      </w:r>
      <w:r w:rsidRPr="00B3158B">
        <w:rPr>
          <w:rFonts w:asciiTheme="majorHAnsi" w:hAnsiTheme="majorHAnsi" w:cs="Arial"/>
          <w:sz w:val="22"/>
          <w:szCs w:val="22"/>
        </w:rPr>
        <w:lastRenderedPageBreak/>
        <w:t>documentos elaborados na fase preparatória que porventura não tenham integrado o edital e seus anexos, conforme determina o art. 54, §3º, da Lei nº 14.133, de 2021.</w:t>
      </w:r>
    </w:p>
    <w:p w14:paraId="01644D1D" w14:textId="77777777" w:rsidR="00241269" w:rsidRPr="00B3158B" w:rsidRDefault="00241269" w:rsidP="00241269">
      <w:pPr>
        <w:pStyle w:val="Ttulo1"/>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CONCLUSÃO</w:t>
      </w:r>
    </w:p>
    <w:p w14:paraId="7FEEF1FA" w14:textId="77777777" w:rsidR="00241269" w:rsidRPr="00B3158B" w:rsidRDefault="00241269" w:rsidP="0024126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Em face do exposto, nos limites da análise jurídica e excluídos os aspectos técnicos e o juízo de oportunidade e conveniência do ajuste, opina-se pela possibilidade jurídica do prosseguimento do presente processo,</w:t>
      </w:r>
    </w:p>
    <w:p w14:paraId="0CC5F69D" w14:textId="3E3150CA" w:rsidR="00241269" w:rsidRPr="00B3158B" w:rsidRDefault="00241269" w:rsidP="0009386E">
      <w:pPr>
        <w:tabs>
          <w:tab w:val="left" w:pos="567"/>
          <w:tab w:val="left" w:pos="2552"/>
        </w:tabs>
        <w:spacing w:line="357" w:lineRule="auto"/>
        <w:ind w:left="567" w:firstLine="425"/>
        <w:jc w:val="both"/>
        <w:rPr>
          <w:rFonts w:asciiTheme="majorHAnsi" w:hAnsiTheme="majorHAnsi" w:cs="Arial"/>
        </w:rPr>
      </w:pPr>
      <w:r w:rsidRPr="00B3158B">
        <w:rPr>
          <w:rFonts w:asciiTheme="majorHAnsi" w:hAnsiTheme="majorHAnsi" w:cs="Arial"/>
        </w:rPr>
        <w:t xml:space="preserve">Diante disso, OPINO FAVORAVELMENTE ao prosseguimento </w:t>
      </w:r>
      <w:r w:rsidR="0009386E">
        <w:rPr>
          <w:rFonts w:asciiTheme="majorHAnsi" w:hAnsiTheme="majorHAnsi" w:cs="Arial"/>
        </w:rPr>
        <w:t>ao presente registro</w:t>
      </w:r>
      <w:r w:rsidRPr="00B3158B">
        <w:rPr>
          <w:rFonts w:asciiTheme="majorHAnsi" w:hAnsiTheme="majorHAnsi" w:cs="Arial"/>
        </w:rPr>
        <w:t>, considerando que a minuta do edital se mostra apta a publicação, bem como, seus respectivos anexos, cumprindo as exigências da Lei nº 14.133/2021.</w:t>
      </w:r>
    </w:p>
    <w:p w14:paraId="2192AE8B" w14:textId="77777777" w:rsidR="00241269" w:rsidRPr="00B3158B" w:rsidRDefault="00241269" w:rsidP="00241269">
      <w:pPr>
        <w:tabs>
          <w:tab w:val="left" w:pos="567"/>
          <w:tab w:val="left" w:pos="2552"/>
        </w:tabs>
        <w:spacing w:line="357" w:lineRule="auto"/>
        <w:ind w:left="567" w:firstLine="425"/>
        <w:rPr>
          <w:rFonts w:asciiTheme="majorHAnsi" w:hAnsiTheme="majorHAnsi" w:cs="Arial"/>
        </w:rPr>
      </w:pPr>
      <w:r w:rsidRPr="00B3158B">
        <w:rPr>
          <w:rFonts w:asciiTheme="majorHAnsi" w:hAnsiTheme="majorHAnsi" w:cs="Arial"/>
        </w:rPr>
        <w:t>Salvo melhor juízo,</w:t>
      </w:r>
    </w:p>
    <w:p w14:paraId="133EC53E" w14:textId="5C291FF3" w:rsidR="00241269" w:rsidRPr="00B3158B" w:rsidRDefault="00241269" w:rsidP="00241269">
      <w:pPr>
        <w:tabs>
          <w:tab w:val="left" w:pos="567"/>
          <w:tab w:val="left" w:pos="2552"/>
        </w:tabs>
        <w:spacing w:line="357" w:lineRule="auto"/>
        <w:ind w:left="567" w:firstLine="425"/>
        <w:rPr>
          <w:rFonts w:asciiTheme="majorHAnsi" w:hAnsiTheme="majorHAnsi" w:cs="Arial"/>
        </w:rPr>
      </w:pPr>
      <w:r w:rsidRPr="00B3158B">
        <w:rPr>
          <w:rFonts w:asciiTheme="majorHAnsi" w:hAnsiTheme="majorHAnsi" w:cs="Arial"/>
        </w:rPr>
        <w:t xml:space="preserve">Jardim do Seridó/RN, </w:t>
      </w:r>
      <w:r w:rsidR="0009386E">
        <w:rPr>
          <w:rFonts w:asciiTheme="majorHAnsi" w:hAnsiTheme="majorHAnsi" w:cs="Arial"/>
        </w:rPr>
        <w:t>09</w:t>
      </w:r>
      <w:r w:rsidRPr="00B3158B">
        <w:rPr>
          <w:rFonts w:asciiTheme="majorHAnsi" w:hAnsiTheme="majorHAnsi" w:cs="Arial"/>
        </w:rPr>
        <w:t xml:space="preserve"> de </w:t>
      </w:r>
      <w:r w:rsidR="0009386E">
        <w:rPr>
          <w:rFonts w:asciiTheme="majorHAnsi" w:hAnsiTheme="majorHAnsi" w:cs="Arial"/>
        </w:rPr>
        <w:t xml:space="preserve">setembro </w:t>
      </w:r>
      <w:r w:rsidRPr="00B3158B">
        <w:rPr>
          <w:rFonts w:asciiTheme="majorHAnsi" w:hAnsiTheme="majorHAnsi" w:cs="Arial"/>
        </w:rPr>
        <w:t>de 2024.</w:t>
      </w:r>
    </w:p>
    <w:p w14:paraId="6A219E95" w14:textId="1087103E" w:rsidR="00241269" w:rsidRPr="00B3158B" w:rsidRDefault="004D40F5" w:rsidP="00241269">
      <w:pPr>
        <w:tabs>
          <w:tab w:val="left" w:pos="567"/>
          <w:tab w:val="left" w:pos="2552"/>
        </w:tabs>
        <w:spacing w:line="357" w:lineRule="auto"/>
        <w:ind w:left="567" w:firstLine="425"/>
        <w:rPr>
          <w:rFonts w:asciiTheme="majorHAnsi" w:hAnsiTheme="majorHAnsi" w:cs="Arial"/>
        </w:rPr>
      </w:pPr>
      <w:r w:rsidRPr="00C96113">
        <w:rPr>
          <w:rFonts w:cstheme="minorHAnsi"/>
          <w:noProof/>
          <w:color w:val="000000" w:themeColor="text1"/>
          <w:sz w:val="20"/>
          <w:szCs w:val="20"/>
        </w:rPr>
        <w:drawing>
          <wp:anchor distT="0" distB="0" distL="114300" distR="114300" simplePos="0" relativeHeight="251659264" behindDoc="0" locked="0" layoutInCell="1" allowOverlap="1" wp14:anchorId="2886CDB4" wp14:editId="5A4DFD5E">
            <wp:simplePos x="0" y="0"/>
            <wp:positionH relativeFrom="column">
              <wp:posOffset>2118360</wp:posOffset>
            </wp:positionH>
            <wp:positionV relativeFrom="paragraph">
              <wp:posOffset>99060</wp:posOffset>
            </wp:positionV>
            <wp:extent cx="1613740" cy="38572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3740" cy="3857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DA9C6" w14:textId="77777777" w:rsidR="00241269" w:rsidRPr="00435BE9" w:rsidRDefault="00241269" w:rsidP="00241269">
      <w:pPr>
        <w:tabs>
          <w:tab w:val="left" w:pos="567"/>
          <w:tab w:val="left" w:pos="2552"/>
        </w:tabs>
        <w:spacing w:line="357" w:lineRule="auto"/>
        <w:ind w:left="567" w:firstLine="425"/>
        <w:jc w:val="center"/>
        <w:rPr>
          <w:rFonts w:asciiTheme="majorHAnsi" w:hAnsiTheme="majorHAnsi" w:cs="Arial"/>
          <w:b/>
          <w:bCs/>
        </w:rPr>
      </w:pPr>
      <w:proofErr w:type="spellStart"/>
      <w:r w:rsidRPr="00435BE9">
        <w:rPr>
          <w:rFonts w:asciiTheme="majorHAnsi" w:hAnsiTheme="majorHAnsi" w:cs="Arial"/>
          <w:b/>
          <w:bCs/>
        </w:rPr>
        <w:t>Luisiane</w:t>
      </w:r>
      <w:proofErr w:type="spellEnd"/>
      <w:r w:rsidRPr="00435BE9">
        <w:rPr>
          <w:rFonts w:asciiTheme="majorHAnsi" w:hAnsiTheme="majorHAnsi" w:cs="Arial"/>
          <w:b/>
          <w:bCs/>
        </w:rPr>
        <w:t xml:space="preserve"> Morais da Fonseca</w:t>
      </w:r>
    </w:p>
    <w:p w14:paraId="3AF6DD22" w14:textId="77777777" w:rsidR="00241269" w:rsidRPr="00435BE9" w:rsidRDefault="00241269" w:rsidP="00241269">
      <w:pPr>
        <w:tabs>
          <w:tab w:val="left" w:pos="567"/>
          <w:tab w:val="left" w:pos="2552"/>
        </w:tabs>
        <w:spacing w:line="357" w:lineRule="auto"/>
        <w:ind w:left="567" w:firstLine="425"/>
        <w:jc w:val="center"/>
        <w:rPr>
          <w:rFonts w:asciiTheme="majorHAnsi" w:hAnsiTheme="majorHAnsi" w:cs="Arial"/>
          <w:b/>
          <w:bCs/>
        </w:rPr>
      </w:pPr>
      <w:r w:rsidRPr="00435BE9">
        <w:rPr>
          <w:rFonts w:asciiTheme="majorHAnsi" w:hAnsiTheme="majorHAnsi" w:cs="Arial"/>
          <w:b/>
          <w:bCs/>
        </w:rPr>
        <w:t>Procuradora do Legislativo</w:t>
      </w:r>
    </w:p>
    <w:p w14:paraId="2B8E30C7" w14:textId="77777777" w:rsidR="00241269" w:rsidRPr="00435BE9" w:rsidRDefault="00241269" w:rsidP="00241269">
      <w:pPr>
        <w:tabs>
          <w:tab w:val="left" w:pos="567"/>
          <w:tab w:val="left" w:pos="2552"/>
        </w:tabs>
        <w:spacing w:line="357" w:lineRule="auto"/>
        <w:ind w:left="567" w:firstLine="425"/>
        <w:jc w:val="center"/>
        <w:rPr>
          <w:rFonts w:asciiTheme="majorHAnsi" w:hAnsiTheme="majorHAnsi" w:cs="Arial"/>
          <w:b/>
          <w:bCs/>
        </w:rPr>
      </w:pPr>
      <w:r w:rsidRPr="00435BE9">
        <w:rPr>
          <w:rFonts w:asciiTheme="majorHAnsi" w:hAnsiTheme="majorHAnsi" w:cs="Arial"/>
          <w:b/>
          <w:bCs/>
        </w:rPr>
        <w:t>OAB/RN 5213</w:t>
      </w:r>
    </w:p>
    <w:p w14:paraId="08F20A74" w14:textId="77777777" w:rsidR="00241269" w:rsidRPr="00B3158B" w:rsidRDefault="00241269" w:rsidP="00241269">
      <w:pPr>
        <w:tabs>
          <w:tab w:val="left" w:pos="567"/>
          <w:tab w:val="left" w:pos="2552"/>
        </w:tabs>
        <w:spacing w:line="357" w:lineRule="auto"/>
        <w:ind w:left="567" w:firstLine="425"/>
        <w:rPr>
          <w:rFonts w:asciiTheme="majorHAnsi" w:hAnsiTheme="majorHAnsi" w:cs="Arial"/>
        </w:rPr>
      </w:pPr>
    </w:p>
    <w:p w14:paraId="0CB3F4AB" w14:textId="77777777" w:rsidR="00FB77C2" w:rsidRPr="009556E7" w:rsidRDefault="00FB77C2" w:rsidP="00241269">
      <w:pPr>
        <w:spacing w:after="0"/>
        <w:ind w:firstLine="1701"/>
        <w:jc w:val="both"/>
        <w:rPr>
          <w:rFonts w:ascii="Arial" w:hAnsi="Arial" w:cs="Arial"/>
        </w:rPr>
      </w:pPr>
    </w:p>
    <w:sectPr w:rsidR="00FB77C2" w:rsidRPr="009556E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D2D7F" w14:textId="77777777" w:rsidR="00625BC4" w:rsidRDefault="00625BC4" w:rsidP="00FB77C2">
      <w:pPr>
        <w:spacing w:after="0" w:line="240" w:lineRule="auto"/>
      </w:pPr>
      <w:r>
        <w:separator/>
      </w:r>
    </w:p>
  </w:endnote>
  <w:endnote w:type="continuationSeparator" w:id="0">
    <w:p w14:paraId="54F4D2AD" w14:textId="77777777" w:rsidR="00625BC4" w:rsidRDefault="00625BC4" w:rsidP="00FB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42DBB" w14:textId="77777777" w:rsidR="00625BC4" w:rsidRDefault="00625BC4" w:rsidP="00FB77C2">
      <w:pPr>
        <w:spacing w:after="0" w:line="240" w:lineRule="auto"/>
      </w:pPr>
      <w:r>
        <w:separator/>
      </w:r>
    </w:p>
  </w:footnote>
  <w:footnote w:type="continuationSeparator" w:id="0">
    <w:p w14:paraId="52DAD05F" w14:textId="77777777" w:rsidR="00625BC4" w:rsidRDefault="00625BC4" w:rsidP="00FB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3A70" w14:textId="65F8EA0C" w:rsidR="00241269" w:rsidRDefault="00241269">
    <w:pPr>
      <w:pStyle w:val="Cabealho"/>
    </w:pPr>
    <w:r>
      <w:rPr>
        <w:noProof/>
      </w:rPr>
      <w:drawing>
        <wp:anchor distT="0" distB="0" distL="114300" distR="114300" simplePos="0" relativeHeight="251659264" behindDoc="1" locked="0" layoutInCell="1" allowOverlap="1" wp14:anchorId="3180CA8D" wp14:editId="1937C3ED">
          <wp:simplePos x="0" y="0"/>
          <wp:positionH relativeFrom="margin">
            <wp:posOffset>-1071852</wp:posOffset>
          </wp:positionH>
          <wp:positionV relativeFrom="page">
            <wp:align>top</wp:align>
          </wp:positionV>
          <wp:extent cx="7558769" cy="10692000"/>
          <wp:effectExtent l="0" t="0" r="444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p w14:paraId="18283FEC" w14:textId="77777777" w:rsidR="00241269" w:rsidRDefault="00241269">
    <w:pPr>
      <w:pStyle w:val="Cabealho"/>
    </w:pPr>
  </w:p>
  <w:p w14:paraId="4E52C019" w14:textId="77777777" w:rsidR="00241269" w:rsidRDefault="00241269">
    <w:pPr>
      <w:pStyle w:val="Cabealho"/>
    </w:pPr>
  </w:p>
  <w:p w14:paraId="3DAE2556" w14:textId="77777777" w:rsidR="00241269" w:rsidRDefault="00241269">
    <w:pPr>
      <w:pStyle w:val="Cabealho"/>
    </w:pPr>
  </w:p>
  <w:p w14:paraId="61105B74" w14:textId="77777777" w:rsidR="00241269" w:rsidRDefault="00241269">
    <w:pPr>
      <w:pStyle w:val="Cabealho"/>
    </w:pPr>
  </w:p>
  <w:p w14:paraId="20E7C5FF" w14:textId="77777777" w:rsidR="00241269" w:rsidRDefault="00241269">
    <w:pPr>
      <w:pStyle w:val="Cabealho"/>
    </w:pPr>
  </w:p>
  <w:p w14:paraId="78831B88" w14:textId="77777777" w:rsidR="00241269" w:rsidRDefault="00241269">
    <w:pPr>
      <w:pStyle w:val="Cabealho"/>
    </w:pPr>
  </w:p>
  <w:p w14:paraId="70DF2D98" w14:textId="36F812E0" w:rsidR="00FB77C2" w:rsidRDefault="00FB77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9365753">
    <w:abstractNumId w:val="1"/>
  </w:num>
  <w:num w:numId="2" w16cid:durableId="1200048242">
    <w:abstractNumId w:val="0"/>
  </w:num>
  <w:num w:numId="3" w16cid:durableId="744686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C2"/>
    <w:rsid w:val="0009386E"/>
    <w:rsid w:val="000E21AF"/>
    <w:rsid w:val="000F441A"/>
    <w:rsid w:val="00241269"/>
    <w:rsid w:val="003F65F9"/>
    <w:rsid w:val="004D40F5"/>
    <w:rsid w:val="004D5EBF"/>
    <w:rsid w:val="00536A2C"/>
    <w:rsid w:val="005D13CF"/>
    <w:rsid w:val="00625BC4"/>
    <w:rsid w:val="007060B7"/>
    <w:rsid w:val="007450D1"/>
    <w:rsid w:val="007F287F"/>
    <w:rsid w:val="008046CB"/>
    <w:rsid w:val="00926C00"/>
    <w:rsid w:val="009556E7"/>
    <w:rsid w:val="00987108"/>
    <w:rsid w:val="009937C8"/>
    <w:rsid w:val="00B31BB1"/>
    <w:rsid w:val="00BA02B5"/>
    <w:rsid w:val="00DB4EA6"/>
    <w:rsid w:val="00FB7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4E9D6"/>
  <w15:chartTrackingRefBased/>
  <w15:docId w15:val="{BB2A4069-D784-4925-93D5-745D3A57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C2"/>
  </w:style>
  <w:style w:type="paragraph" w:styleId="Ttulo1">
    <w:name w:val="heading 1"/>
    <w:basedOn w:val="PargrafoParecer"/>
    <w:next w:val="PargrafoParecer"/>
    <w:link w:val="Ttulo1Char"/>
    <w:uiPriority w:val="9"/>
    <w:qFormat/>
    <w:rsid w:val="00241269"/>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241269"/>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241269"/>
    <w:pPr>
      <w:outlineLvl w:val="2"/>
    </w:pPr>
    <w:rPr>
      <w:b w:val="0"/>
      <w:sz w:val="20"/>
      <w:szCs w:val="20"/>
      <w:u w:val="single"/>
    </w:rPr>
  </w:style>
  <w:style w:type="paragraph" w:styleId="Ttulo4">
    <w:name w:val="heading 4"/>
    <w:basedOn w:val="PargrafoParecer"/>
    <w:next w:val="Normal"/>
    <w:link w:val="Ttulo4Char"/>
    <w:uiPriority w:val="9"/>
    <w:unhideWhenUsed/>
    <w:qFormat/>
    <w:rsid w:val="00241269"/>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241269"/>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7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77C2"/>
  </w:style>
  <w:style w:type="paragraph" w:styleId="Rodap">
    <w:name w:val="footer"/>
    <w:basedOn w:val="Normal"/>
    <w:link w:val="RodapChar"/>
    <w:uiPriority w:val="99"/>
    <w:unhideWhenUsed/>
    <w:rsid w:val="00FB77C2"/>
    <w:pPr>
      <w:tabs>
        <w:tab w:val="center" w:pos="4252"/>
        <w:tab w:val="right" w:pos="8504"/>
      </w:tabs>
      <w:spacing w:after="0" w:line="240" w:lineRule="auto"/>
    </w:pPr>
  </w:style>
  <w:style w:type="character" w:customStyle="1" w:styleId="RodapChar">
    <w:name w:val="Rodapé Char"/>
    <w:basedOn w:val="Fontepargpadro"/>
    <w:link w:val="Rodap"/>
    <w:uiPriority w:val="99"/>
    <w:rsid w:val="00FB77C2"/>
  </w:style>
  <w:style w:type="character" w:customStyle="1" w:styleId="Ttulo1Char">
    <w:name w:val="Título 1 Char"/>
    <w:basedOn w:val="Fontepargpadro"/>
    <w:link w:val="Ttulo1"/>
    <w:uiPriority w:val="9"/>
    <w:rsid w:val="00241269"/>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241269"/>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241269"/>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241269"/>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241269"/>
    <w:rPr>
      <w:rFonts w:ascii="Times New Roman" w:eastAsia="Times New Roman" w:hAnsi="Times New Roman" w:cstheme="majorBidi"/>
      <w:i/>
      <w:iCs/>
      <w:color w:val="0000FF"/>
      <w:sz w:val="20"/>
      <w:szCs w:val="20"/>
      <w:u w:val="single"/>
      <w:lang w:eastAsia="ar-SA"/>
    </w:rPr>
  </w:style>
  <w:style w:type="paragraph" w:customStyle="1" w:styleId="PargrafoParecer">
    <w:name w:val="Parágrafo_Parecer"/>
    <w:basedOn w:val="PargrafodaLista"/>
    <w:link w:val="PargrafoParecerChar"/>
    <w:qFormat/>
    <w:rsid w:val="00241269"/>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241269"/>
    <w:pPr>
      <w:numPr>
        <w:numId w:val="2"/>
      </w:numPr>
      <w:ind w:left="1418" w:firstLine="0"/>
    </w:pPr>
  </w:style>
  <w:style w:type="character" w:customStyle="1" w:styleId="PargrafoParecerChar">
    <w:name w:val="Parágrafo_Parecer Char"/>
    <w:basedOn w:val="Fontepargpadro"/>
    <w:link w:val="PargrafoParecer"/>
    <w:rsid w:val="00241269"/>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241269"/>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241269"/>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241269"/>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241269"/>
    <w:rPr>
      <w:color w:val="0563C1" w:themeColor="hyperlink"/>
      <w:u w:val="single"/>
    </w:rPr>
  </w:style>
  <w:style w:type="character" w:customStyle="1" w:styleId="cf01">
    <w:name w:val="cf01"/>
    <w:basedOn w:val="Fontepargpadro"/>
    <w:rsid w:val="00241269"/>
    <w:rPr>
      <w:rFonts w:ascii="Segoe UI" w:hAnsi="Segoe UI" w:cs="Segoe UI" w:hint="default"/>
      <w:sz w:val="18"/>
      <w:szCs w:val="18"/>
    </w:rPr>
  </w:style>
  <w:style w:type="character" w:customStyle="1" w:styleId="normaltextrun">
    <w:name w:val="normaltextrun"/>
    <w:basedOn w:val="Fontepargpadro"/>
    <w:rsid w:val="00241269"/>
  </w:style>
  <w:style w:type="paragraph" w:customStyle="1" w:styleId="Default">
    <w:name w:val="Default"/>
    <w:rsid w:val="00241269"/>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241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230.htm" TargetMode="Externa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4415</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Gontran Costa de Azevedo</dc:creator>
  <cp:keywords/>
  <dc:description/>
  <cp:lastModifiedBy>Ruan Pablo</cp:lastModifiedBy>
  <cp:revision>4</cp:revision>
  <dcterms:created xsi:type="dcterms:W3CDTF">2024-09-09T23:19:00Z</dcterms:created>
  <dcterms:modified xsi:type="dcterms:W3CDTF">2024-09-17T13:04:00Z</dcterms:modified>
</cp:coreProperties>
</file>