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9D7C" w14:textId="77777777" w:rsidR="00AF6118" w:rsidRPr="00174A24" w:rsidRDefault="00AF6118" w:rsidP="00AF6118">
      <w:pPr>
        <w:pStyle w:val="Default"/>
        <w:rPr>
          <w:rFonts w:asciiTheme="majorHAnsi" w:hAnsiTheme="majorHAnsi" w:cstheme="majorHAnsi"/>
        </w:rPr>
      </w:pPr>
    </w:p>
    <w:p w14:paraId="044F15A3" w14:textId="77777777" w:rsidR="003C7203" w:rsidRPr="00174A24" w:rsidRDefault="00AF6118" w:rsidP="003C7203">
      <w:pPr>
        <w:shd w:val="clear" w:color="auto" w:fill="DBDBDB" w:themeFill="accent3" w:themeFillTint="66"/>
        <w:spacing w:line="276" w:lineRule="auto"/>
        <w:jc w:val="center"/>
        <w:rPr>
          <w:rFonts w:asciiTheme="majorHAnsi" w:hAnsiTheme="majorHAnsi" w:cstheme="majorHAnsi"/>
          <w:b/>
          <w:w w:val="105"/>
          <w:sz w:val="24"/>
          <w:szCs w:val="24"/>
        </w:rPr>
      </w:pPr>
      <w:r w:rsidRPr="00174A24">
        <w:rPr>
          <w:rFonts w:asciiTheme="majorHAnsi" w:hAnsiTheme="majorHAnsi" w:cstheme="majorHAnsi"/>
          <w:sz w:val="24"/>
          <w:szCs w:val="24"/>
        </w:rPr>
        <w:t xml:space="preserve"> </w:t>
      </w:r>
      <w:r w:rsidRPr="00174A24">
        <w:rPr>
          <w:rFonts w:asciiTheme="majorHAnsi" w:hAnsiTheme="majorHAnsi" w:cstheme="majorHAnsi"/>
          <w:b/>
          <w:bCs/>
          <w:sz w:val="24"/>
          <w:szCs w:val="24"/>
        </w:rPr>
        <w:t xml:space="preserve">PROC. ADMIN. CMJS/RN N° </w:t>
      </w:r>
      <w:r w:rsidR="003C7203" w:rsidRPr="00174A24">
        <w:rPr>
          <w:rFonts w:asciiTheme="majorHAnsi" w:hAnsiTheme="majorHAnsi" w:cstheme="majorHAnsi"/>
          <w:b/>
          <w:w w:val="105"/>
          <w:sz w:val="24"/>
          <w:szCs w:val="24"/>
        </w:rPr>
        <w:t>207.001/2024</w:t>
      </w:r>
    </w:p>
    <w:p w14:paraId="2C14CBCC" w14:textId="68FDAE48" w:rsidR="0012526F" w:rsidRPr="00174A24" w:rsidRDefault="00EB06CF" w:rsidP="002510C6">
      <w:pPr>
        <w:spacing w:line="360" w:lineRule="auto"/>
        <w:jc w:val="center"/>
        <w:rPr>
          <w:rFonts w:asciiTheme="majorHAnsi" w:hAnsiTheme="majorHAnsi" w:cstheme="majorHAnsi"/>
          <w:b/>
          <w:bCs/>
          <w:sz w:val="24"/>
          <w:szCs w:val="24"/>
        </w:rPr>
      </w:pPr>
      <w:r w:rsidRPr="00174A24">
        <w:rPr>
          <w:rFonts w:asciiTheme="majorHAnsi" w:hAnsiTheme="majorHAnsi" w:cstheme="majorHAnsi"/>
          <w:b/>
          <w:bCs/>
          <w:sz w:val="24"/>
          <w:szCs w:val="24"/>
        </w:rPr>
        <w:t>PARECER JURÍDICO</w:t>
      </w:r>
    </w:p>
    <w:p w14:paraId="53B8A43B" w14:textId="469D9173" w:rsidR="0012526F" w:rsidRPr="00174A24" w:rsidRDefault="0012526F" w:rsidP="002510C6">
      <w:pPr>
        <w:spacing w:line="360" w:lineRule="auto"/>
        <w:jc w:val="both"/>
        <w:rPr>
          <w:rFonts w:asciiTheme="majorHAnsi" w:hAnsiTheme="majorHAnsi" w:cstheme="majorHAnsi"/>
          <w:sz w:val="24"/>
          <w:szCs w:val="24"/>
        </w:rPr>
      </w:pPr>
    </w:p>
    <w:p w14:paraId="2706E9E8" w14:textId="7E226A45" w:rsidR="00EB06CF" w:rsidRPr="00174A24" w:rsidRDefault="00EB06CF" w:rsidP="002510C6">
      <w:pPr>
        <w:spacing w:after="0" w:line="360" w:lineRule="auto"/>
        <w:jc w:val="both"/>
        <w:rPr>
          <w:rFonts w:asciiTheme="majorHAnsi" w:hAnsiTheme="majorHAnsi" w:cstheme="majorHAnsi"/>
          <w:sz w:val="24"/>
          <w:szCs w:val="24"/>
        </w:rPr>
      </w:pPr>
      <w:r w:rsidRPr="00174A24">
        <w:rPr>
          <w:rFonts w:asciiTheme="majorHAnsi" w:hAnsiTheme="majorHAnsi" w:cstheme="majorHAnsi"/>
          <w:b/>
          <w:bCs/>
          <w:sz w:val="24"/>
          <w:szCs w:val="24"/>
        </w:rPr>
        <w:t xml:space="preserve">PROCESSO </w:t>
      </w:r>
      <w:r w:rsidR="00192BF7" w:rsidRPr="00174A24">
        <w:rPr>
          <w:rFonts w:asciiTheme="majorHAnsi" w:hAnsiTheme="majorHAnsi" w:cstheme="majorHAnsi"/>
          <w:b/>
          <w:bCs/>
          <w:sz w:val="24"/>
          <w:szCs w:val="24"/>
        </w:rPr>
        <w:t xml:space="preserve">INEXIGIBILIDADE </w:t>
      </w:r>
      <w:r w:rsidRPr="00174A24">
        <w:rPr>
          <w:rFonts w:asciiTheme="majorHAnsi" w:hAnsiTheme="majorHAnsi" w:cstheme="majorHAnsi"/>
          <w:b/>
          <w:bCs/>
          <w:sz w:val="24"/>
          <w:szCs w:val="24"/>
        </w:rPr>
        <w:t>Nº:</w:t>
      </w:r>
      <w:r w:rsidRPr="00174A24">
        <w:rPr>
          <w:rFonts w:asciiTheme="majorHAnsi" w:hAnsiTheme="majorHAnsi" w:cstheme="majorHAnsi"/>
          <w:sz w:val="24"/>
          <w:szCs w:val="24"/>
        </w:rPr>
        <w:t xml:space="preserve"> 00</w:t>
      </w:r>
      <w:r w:rsidR="00D47893">
        <w:rPr>
          <w:rFonts w:asciiTheme="majorHAnsi" w:hAnsiTheme="majorHAnsi" w:cstheme="majorHAnsi"/>
          <w:sz w:val="24"/>
          <w:szCs w:val="24"/>
        </w:rPr>
        <w:t>4</w:t>
      </w:r>
      <w:r w:rsidRPr="00174A24">
        <w:rPr>
          <w:rFonts w:asciiTheme="majorHAnsi" w:hAnsiTheme="majorHAnsi" w:cstheme="majorHAnsi"/>
          <w:sz w:val="24"/>
          <w:szCs w:val="24"/>
        </w:rPr>
        <w:t>/202</w:t>
      </w:r>
      <w:r w:rsidR="00192BF7" w:rsidRPr="00174A24">
        <w:rPr>
          <w:rFonts w:asciiTheme="majorHAnsi" w:hAnsiTheme="majorHAnsi" w:cstheme="majorHAnsi"/>
          <w:sz w:val="24"/>
          <w:szCs w:val="24"/>
        </w:rPr>
        <w:t>4</w:t>
      </w:r>
    </w:p>
    <w:p w14:paraId="1D6A05CE" w14:textId="7AC21CF5" w:rsidR="00EB06CF" w:rsidRPr="00174A24" w:rsidRDefault="00EB06CF" w:rsidP="002510C6">
      <w:pPr>
        <w:spacing w:after="0" w:line="360" w:lineRule="auto"/>
        <w:jc w:val="both"/>
        <w:rPr>
          <w:rFonts w:asciiTheme="majorHAnsi" w:hAnsiTheme="majorHAnsi" w:cstheme="majorHAnsi"/>
          <w:sz w:val="24"/>
          <w:szCs w:val="24"/>
        </w:rPr>
      </w:pPr>
      <w:r w:rsidRPr="00174A24">
        <w:rPr>
          <w:rFonts w:asciiTheme="majorHAnsi" w:hAnsiTheme="majorHAnsi" w:cstheme="majorHAnsi"/>
          <w:b/>
          <w:bCs/>
          <w:sz w:val="24"/>
          <w:szCs w:val="24"/>
        </w:rPr>
        <w:t>INTERESSADO:</w:t>
      </w:r>
      <w:r w:rsidRPr="00174A24">
        <w:rPr>
          <w:rFonts w:asciiTheme="majorHAnsi" w:hAnsiTheme="majorHAnsi" w:cstheme="majorHAnsi"/>
          <w:sz w:val="24"/>
          <w:szCs w:val="24"/>
        </w:rPr>
        <w:t xml:space="preserve"> Câmara Municipal de Jardim do Seridó</w:t>
      </w:r>
    </w:p>
    <w:p w14:paraId="425E911A" w14:textId="43150BE3" w:rsidR="003C7203" w:rsidRPr="00174A24" w:rsidRDefault="00EB06CF" w:rsidP="003C7203">
      <w:pPr>
        <w:widowControl w:val="0"/>
        <w:tabs>
          <w:tab w:val="left" w:pos="601"/>
        </w:tabs>
        <w:autoSpaceDE w:val="0"/>
        <w:autoSpaceDN w:val="0"/>
        <w:spacing w:after="0" w:line="240" w:lineRule="auto"/>
        <w:jc w:val="both"/>
        <w:rPr>
          <w:rFonts w:asciiTheme="majorHAnsi" w:hAnsiTheme="majorHAnsi" w:cstheme="majorHAnsi"/>
          <w:sz w:val="24"/>
          <w:szCs w:val="24"/>
        </w:rPr>
      </w:pPr>
      <w:r w:rsidRPr="00174A24">
        <w:rPr>
          <w:rFonts w:asciiTheme="majorHAnsi" w:hAnsiTheme="majorHAnsi" w:cstheme="majorHAnsi"/>
          <w:b/>
          <w:bCs/>
          <w:sz w:val="24"/>
          <w:szCs w:val="24"/>
        </w:rPr>
        <w:t>ASSUNTO</w:t>
      </w:r>
      <w:r w:rsidR="00AF6118" w:rsidRPr="00174A24">
        <w:rPr>
          <w:rFonts w:asciiTheme="majorHAnsi" w:hAnsiTheme="majorHAnsi" w:cstheme="majorHAnsi"/>
          <w:b/>
          <w:bCs/>
          <w:sz w:val="24"/>
          <w:szCs w:val="24"/>
        </w:rPr>
        <w:t xml:space="preserve">: </w:t>
      </w:r>
      <w:r w:rsidR="003C7203" w:rsidRPr="00174A24">
        <w:rPr>
          <w:rFonts w:asciiTheme="majorHAnsi" w:hAnsiTheme="majorHAnsi" w:cstheme="majorHAnsi"/>
          <w:sz w:val="24"/>
          <w:szCs w:val="24"/>
        </w:rPr>
        <w:t>Contratação de empresa que forneça serviço de telefonia fixa, destinada à Câmara Municipal de Jardim do Seridó/RN, dada a importância desses serviços para a comunicação desta entidade com os demais órgãos do estado e do município, além da sociedade.</w:t>
      </w:r>
    </w:p>
    <w:p w14:paraId="191D7DDC" w14:textId="77777777" w:rsidR="003C7203" w:rsidRPr="00174A24" w:rsidRDefault="003C7203" w:rsidP="003C7203">
      <w:pPr>
        <w:spacing w:line="360" w:lineRule="auto"/>
        <w:jc w:val="both"/>
        <w:rPr>
          <w:rFonts w:asciiTheme="majorHAnsi" w:hAnsiTheme="majorHAnsi" w:cstheme="majorHAnsi"/>
          <w:b/>
          <w:bCs/>
          <w:sz w:val="24"/>
          <w:szCs w:val="24"/>
        </w:rPr>
      </w:pPr>
    </w:p>
    <w:p w14:paraId="260DF520" w14:textId="5806D4C5" w:rsidR="00EB06CF" w:rsidRPr="00174A24" w:rsidRDefault="00EB06CF" w:rsidP="003C7203">
      <w:pPr>
        <w:spacing w:line="360" w:lineRule="auto"/>
        <w:ind w:left="3969"/>
        <w:jc w:val="both"/>
        <w:rPr>
          <w:rFonts w:asciiTheme="majorHAnsi" w:hAnsiTheme="majorHAnsi" w:cstheme="majorHAnsi"/>
          <w:i/>
          <w:iCs/>
          <w:sz w:val="24"/>
          <w:szCs w:val="24"/>
        </w:rPr>
      </w:pPr>
      <w:r w:rsidRPr="00174A24">
        <w:rPr>
          <w:rFonts w:asciiTheme="majorHAnsi" w:hAnsiTheme="majorHAnsi" w:cstheme="majorHAnsi"/>
          <w:b/>
          <w:bCs/>
          <w:i/>
          <w:iCs/>
          <w:sz w:val="24"/>
          <w:szCs w:val="24"/>
        </w:rPr>
        <w:t xml:space="preserve">EMENTA: </w:t>
      </w:r>
      <w:r w:rsidR="004A566F" w:rsidRPr="00174A24">
        <w:rPr>
          <w:rFonts w:asciiTheme="majorHAnsi" w:hAnsiTheme="majorHAnsi" w:cstheme="majorHAnsi"/>
          <w:i/>
          <w:iCs/>
          <w:sz w:val="24"/>
          <w:szCs w:val="24"/>
        </w:rPr>
        <w:t xml:space="preserve">Constitucional. Administrativo. Licitação. Inviabilidade de competição. Aquisição de serviços que só possam ser fornecidos por produtor, empresa ou representante comercial exclusivo. Possibilidade Legal. Inteligência do art. </w:t>
      </w:r>
      <w:r w:rsidR="0082214F" w:rsidRPr="00174A24">
        <w:rPr>
          <w:rFonts w:asciiTheme="majorHAnsi" w:hAnsiTheme="majorHAnsi" w:cstheme="majorHAnsi"/>
          <w:i/>
          <w:iCs/>
          <w:sz w:val="24"/>
          <w:szCs w:val="24"/>
        </w:rPr>
        <w:t>74</w:t>
      </w:r>
      <w:r w:rsidR="004A566F" w:rsidRPr="00174A24">
        <w:rPr>
          <w:rFonts w:asciiTheme="majorHAnsi" w:hAnsiTheme="majorHAnsi" w:cstheme="majorHAnsi"/>
          <w:i/>
          <w:iCs/>
          <w:sz w:val="24"/>
          <w:szCs w:val="24"/>
        </w:rPr>
        <w:t xml:space="preserve">, </w:t>
      </w:r>
      <w:r w:rsidR="0082214F" w:rsidRPr="00174A24">
        <w:rPr>
          <w:rFonts w:asciiTheme="majorHAnsi" w:hAnsiTheme="majorHAnsi" w:cstheme="majorHAnsi"/>
          <w:i/>
          <w:iCs/>
          <w:sz w:val="24"/>
          <w:szCs w:val="24"/>
        </w:rPr>
        <w:t xml:space="preserve">inciso I, </w:t>
      </w:r>
      <w:r w:rsidR="004A566F" w:rsidRPr="00174A24">
        <w:rPr>
          <w:rFonts w:asciiTheme="majorHAnsi" w:hAnsiTheme="majorHAnsi" w:cstheme="majorHAnsi"/>
          <w:i/>
          <w:iCs/>
          <w:sz w:val="24"/>
          <w:szCs w:val="24"/>
        </w:rPr>
        <w:t xml:space="preserve">da Lei nº </w:t>
      </w:r>
      <w:r w:rsidR="0082214F" w:rsidRPr="00174A24">
        <w:rPr>
          <w:rFonts w:asciiTheme="majorHAnsi" w:hAnsiTheme="majorHAnsi" w:cstheme="majorHAnsi"/>
          <w:i/>
          <w:iCs/>
          <w:sz w:val="24"/>
          <w:szCs w:val="24"/>
        </w:rPr>
        <w:t>14.133/2021</w:t>
      </w:r>
      <w:r w:rsidRPr="00174A24">
        <w:rPr>
          <w:rFonts w:asciiTheme="majorHAnsi" w:hAnsiTheme="majorHAnsi" w:cstheme="majorHAnsi"/>
          <w:i/>
          <w:iCs/>
          <w:sz w:val="24"/>
          <w:szCs w:val="24"/>
        </w:rPr>
        <w:t>.</w:t>
      </w:r>
    </w:p>
    <w:p w14:paraId="350CCF2E" w14:textId="77777777" w:rsidR="003C7203" w:rsidRPr="00174A24" w:rsidRDefault="003C7203" w:rsidP="003C7203">
      <w:pPr>
        <w:spacing w:line="360" w:lineRule="auto"/>
        <w:ind w:left="3969"/>
        <w:jc w:val="both"/>
        <w:rPr>
          <w:rFonts w:asciiTheme="majorHAnsi" w:hAnsiTheme="majorHAnsi" w:cstheme="majorHAnsi"/>
          <w:i/>
          <w:iCs/>
          <w:sz w:val="24"/>
          <w:szCs w:val="24"/>
        </w:rPr>
      </w:pPr>
    </w:p>
    <w:p w14:paraId="2240BF17" w14:textId="40FEFFFF" w:rsidR="004A566F" w:rsidRPr="00174A24" w:rsidRDefault="004A566F"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t xml:space="preserve">Vem ao exame desta Consultoria Jurídica, o presente processo administrativo, para análise e consequente emissão de parecer sobre a pretensa contratação da </w:t>
      </w:r>
      <w:r w:rsidR="003C7203" w:rsidRPr="00174A24">
        <w:rPr>
          <w:rFonts w:asciiTheme="majorHAnsi" w:hAnsiTheme="majorHAnsi" w:cstheme="majorHAnsi"/>
          <w:sz w:val="24"/>
          <w:szCs w:val="24"/>
        </w:rPr>
        <w:t>TELEFONIA FIXA</w:t>
      </w:r>
      <w:r w:rsidRPr="00174A24">
        <w:rPr>
          <w:rFonts w:asciiTheme="majorHAnsi" w:hAnsiTheme="majorHAnsi" w:cstheme="majorHAnsi"/>
          <w:sz w:val="24"/>
          <w:szCs w:val="24"/>
        </w:rPr>
        <w:t xml:space="preserve">, com base no parágrafo único </w:t>
      </w:r>
      <w:r w:rsidR="0082214F" w:rsidRPr="00174A24">
        <w:rPr>
          <w:rFonts w:asciiTheme="majorHAnsi" w:hAnsiTheme="majorHAnsi" w:cstheme="majorHAnsi"/>
          <w:i/>
          <w:iCs/>
          <w:sz w:val="24"/>
          <w:szCs w:val="24"/>
        </w:rPr>
        <w:t>do art. 53, § 1º da Lei nº 14.133/2021</w:t>
      </w:r>
      <w:r w:rsidRPr="00174A24">
        <w:rPr>
          <w:rFonts w:asciiTheme="majorHAnsi" w:hAnsiTheme="majorHAnsi" w:cstheme="majorHAnsi"/>
          <w:sz w:val="24"/>
          <w:szCs w:val="24"/>
        </w:rPr>
        <w:t>, que determina o prévio exame e aprovação por assessoria jurídica da Administração quando da realização de contratos pela Administração Pública.</w:t>
      </w:r>
    </w:p>
    <w:p w14:paraId="28EFA275" w14:textId="3BB8B0FD" w:rsidR="004A566F" w:rsidRPr="00174A24" w:rsidRDefault="004A566F"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t xml:space="preserve">Nesse sentido, a Comissão de Licitação do Município de Jardim do Seridó, através da CÂMARA MUNICIPAL DE JARDIM DO SERIDÓ, deliberou, nos autos concernente a contratação objeto do presente TERMO, sugerindo que a mesma se </w:t>
      </w:r>
      <w:r w:rsidRPr="00174A24">
        <w:rPr>
          <w:rFonts w:asciiTheme="majorHAnsi" w:hAnsiTheme="majorHAnsi" w:cstheme="majorHAnsi"/>
          <w:sz w:val="24"/>
          <w:szCs w:val="24"/>
        </w:rPr>
        <w:lastRenderedPageBreak/>
        <w:t>realizasse através de INEXIGIBILIDADE DE LICITAÇÃO, por constar no seu cadastro, de empresa com excelente ficha técnica e especialização no ramo, bastando para tanto, a sua contratação imediata, após a publicação de tal procedimento, observados preços e condições compatíveis com as práticas no ramo de atividade.</w:t>
      </w:r>
    </w:p>
    <w:p w14:paraId="0C3838D3" w14:textId="508A3C5B" w:rsidR="004A566F" w:rsidRPr="00174A24" w:rsidRDefault="004A566F" w:rsidP="003C7203">
      <w:pPr>
        <w:pStyle w:val="Default"/>
        <w:spacing w:line="360" w:lineRule="auto"/>
        <w:ind w:firstLine="1418"/>
        <w:jc w:val="both"/>
        <w:rPr>
          <w:rFonts w:asciiTheme="majorHAnsi" w:hAnsiTheme="majorHAnsi" w:cstheme="majorHAnsi"/>
        </w:rPr>
      </w:pPr>
      <w:r w:rsidRPr="00174A24">
        <w:rPr>
          <w:rFonts w:asciiTheme="majorHAnsi" w:hAnsiTheme="majorHAnsi" w:cstheme="majorHAnsi"/>
        </w:rPr>
        <w:t>O presente processo administrativo trata de contratação da</w:t>
      </w:r>
      <w:r w:rsidR="00671505" w:rsidRPr="00174A24">
        <w:rPr>
          <w:rFonts w:asciiTheme="majorHAnsi" w:hAnsiTheme="majorHAnsi" w:cstheme="majorHAnsi"/>
        </w:rPr>
        <w:t xml:space="preserve"> </w:t>
      </w:r>
      <w:r w:rsidR="00174A24" w:rsidRPr="00174A24">
        <w:rPr>
          <w:rFonts w:asciiTheme="majorHAnsi" w:hAnsiTheme="majorHAnsi" w:cstheme="majorHAnsi"/>
        </w:rPr>
        <w:t>Telemar Norte Leste S/A</w:t>
      </w:r>
      <w:r w:rsidRPr="00174A24">
        <w:rPr>
          <w:rFonts w:asciiTheme="majorHAnsi" w:hAnsiTheme="majorHAnsi" w:cstheme="majorHAnsi"/>
        </w:rPr>
        <w:t>, no exercício de 202</w:t>
      </w:r>
      <w:r w:rsidR="0082214F" w:rsidRPr="00174A24">
        <w:rPr>
          <w:rFonts w:asciiTheme="majorHAnsi" w:hAnsiTheme="majorHAnsi" w:cstheme="majorHAnsi"/>
        </w:rPr>
        <w:t>4</w:t>
      </w:r>
      <w:r w:rsidRPr="00174A24">
        <w:rPr>
          <w:rFonts w:asciiTheme="majorHAnsi" w:hAnsiTheme="majorHAnsi" w:cstheme="majorHAnsi"/>
        </w:rPr>
        <w:t>, visando atender as necessidades da CÂMARA MUNICIPAL DE JARDIM DO SERIDÓ – RN e seus anexos, configurando serviço indispensável para o desenvolvimento e manutenção das atividades legislativas e administrativas.</w:t>
      </w:r>
    </w:p>
    <w:p w14:paraId="073FF130" w14:textId="09B26B93" w:rsidR="0082214F" w:rsidRPr="00174A24" w:rsidRDefault="0082214F"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t>Inicialmente, ressalta-se que, de acordo com o artigo 53, caput e §4º, da Lei nº 14.133/2021, o processo licitatório, bem como as contratações diretas, acordos, termos de cooperação, convênios, ajustes, adesões a atas de registro de preços, outros instrumentos congêneres e de seus termos adi2vos se submeterão a controle prévio de legalidade pela consultoria jurídica da Administração. No mesmo sentido, o artigo 11, inciso VI, "b", da Lei Complementar nº 73/1993, determina que cabe às Consultorias Jurídicas examinar, prévia e conclusivamente, "os atos pelos quais se vá reconhecer a inexigibilidade, ou decidir a dispensa, de licitação”. Busca-se, assim, conferir higidez jurídica às licitações e às contratações públicas.</w:t>
      </w:r>
    </w:p>
    <w:p w14:paraId="1CFADE89" w14:textId="75B956FD" w:rsidR="00D859AD" w:rsidRPr="00174A24" w:rsidRDefault="00D859AD"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t xml:space="preserve">Ademais, no Estado não existem outras empresas autorizadas a prestar o referido serviço. Destaca-se que há a informação de dotação orçamentária e disponibilidade financeira, para realizar a presente contratação. Isto posto, opta-se pela inexigibilidade da licitação por considerar inviável a competição e a realização de um procedimento licitatório. </w:t>
      </w:r>
    </w:p>
    <w:p w14:paraId="5F37FB05" w14:textId="628CA1D6" w:rsidR="00D859AD" w:rsidRPr="00174A24" w:rsidRDefault="00D859AD" w:rsidP="004063F5">
      <w:pPr>
        <w:pStyle w:val="Default"/>
        <w:spacing w:line="360" w:lineRule="auto"/>
        <w:ind w:firstLine="1418"/>
        <w:jc w:val="both"/>
        <w:rPr>
          <w:rFonts w:asciiTheme="majorHAnsi" w:hAnsiTheme="majorHAnsi" w:cstheme="majorHAnsi"/>
        </w:rPr>
      </w:pPr>
      <w:r w:rsidRPr="00174A24">
        <w:rPr>
          <w:rFonts w:asciiTheme="majorHAnsi" w:hAnsiTheme="majorHAnsi" w:cstheme="majorHAnsi"/>
        </w:rPr>
        <w:t xml:space="preserve">A </w:t>
      </w:r>
      <w:r w:rsidR="0082214F" w:rsidRPr="00174A24">
        <w:rPr>
          <w:rFonts w:asciiTheme="majorHAnsi" w:hAnsiTheme="majorHAnsi" w:cstheme="majorHAnsi"/>
        </w:rPr>
        <w:t>contratação se dará então com</w:t>
      </w:r>
      <w:r w:rsidRPr="00174A24">
        <w:rPr>
          <w:rFonts w:asciiTheme="majorHAnsi" w:hAnsiTheme="majorHAnsi" w:cstheme="majorHAnsi"/>
        </w:rPr>
        <w:t xml:space="preserve"> a</w:t>
      </w:r>
      <w:r w:rsidR="004063F5" w:rsidRPr="00174A24">
        <w:rPr>
          <w:rFonts w:asciiTheme="majorHAnsi" w:hAnsiTheme="majorHAnsi" w:cstheme="majorHAnsi"/>
        </w:rPr>
        <w:t xml:space="preserve"> </w:t>
      </w:r>
      <w:r w:rsidR="00174A24" w:rsidRPr="00174A24">
        <w:rPr>
          <w:rFonts w:asciiTheme="majorHAnsi" w:hAnsiTheme="majorHAnsi" w:cstheme="majorHAnsi"/>
        </w:rPr>
        <w:t xml:space="preserve">Telemar Norte Leste S/A </w:t>
      </w:r>
      <w:r w:rsidRPr="00174A24">
        <w:rPr>
          <w:rFonts w:asciiTheme="majorHAnsi" w:hAnsiTheme="majorHAnsi" w:cstheme="majorHAnsi"/>
        </w:rPr>
        <w:t xml:space="preserve">pertencente ao Estado, criada com a finalidade de prestar o serviço de fornecimento de </w:t>
      </w:r>
      <w:r w:rsidR="00101EC9" w:rsidRPr="00174A24">
        <w:rPr>
          <w:rFonts w:asciiTheme="majorHAnsi" w:hAnsiTheme="majorHAnsi" w:cstheme="majorHAnsi"/>
        </w:rPr>
        <w:t>Energia Elétrica</w:t>
      </w:r>
      <w:r w:rsidRPr="00174A24">
        <w:rPr>
          <w:rFonts w:asciiTheme="majorHAnsi" w:hAnsiTheme="majorHAnsi" w:cstheme="majorHAnsi"/>
        </w:rPr>
        <w:t>.</w:t>
      </w:r>
    </w:p>
    <w:p w14:paraId="01A5D313" w14:textId="6A90E61C" w:rsidR="00D859AD" w:rsidRPr="00174A24" w:rsidRDefault="00D859AD"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lastRenderedPageBreak/>
        <w:t xml:space="preserve">Por tratar-se de quem detém a exclusividade na prestação do serviço em nosso município, entendemos desnecessária qualquer tentativa no sentido da comprovação de compatibilidade dos preços praticados por ela com os de mercado, na medida em que se trata de tarifas preestabelecidas, que são cobradas de todos os usuários dos serviços. A tabela tarifária vigente está anexa ao processo de inexigibilidade de licitação. </w:t>
      </w:r>
    </w:p>
    <w:p w14:paraId="75875CC5" w14:textId="1EFCF6BB" w:rsidR="0082214F" w:rsidRPr="00174A24" w:rsidRDefault="0082214F" w:rsidP="002510C6">
      <w:pPr>
        <w:spacing w:line="360" w:lineRule="auto"/>
        <w:ind w:left="142" w:firstLine="1418"/>
        <w:jc w:val="both"/>
        <w:rPr>
          <w:rFonts w:asciiTheme="majorHAnsi" w:hAnsiTheme="majorHAnsi" w:cstheme="majorHAnsi"/>
          <w:sz w:val="24"/>
          <w:szCs w:val="24"/>
        </w:rPr>
      </w:pPr>
      <w:r w:rsidRPr="00174A24">
        <w:rPr>
          <w:rFonts w:asciiTheme="majorHAnsi" w:hAnsiTheme="majorHAnsi" w:cstheme="majorHAnsi"/>
          <w:sz w:val="24"/>
          <w:szCs w:val="24"/>
        </w:rPr>
        <w:t>Na Lei nº 14.133/2021, a figura da inexigibilidade consta disciplinada pelo artigo 74:</w:t>
      </w:r>
    </w:p>
    <w:p w14:paraId="6931879E" w14:textId="3A43485D" w:rsidR="004953B9" w:rsidRPr="00174A24" w:rsidRDefault="0082214F" w:rsidP="002510C6">
      <w:pPr>
        <w:spacing w:line="360" w:lineRule="auto"/>
        <w:ind w:left="4111"/>
        <w:jc w:val="both"/>
        <w:rPr>
          <w:rFonts w:asciiTheme="majorHAnsi" w:hAnsiTheme="majorHAnsi" w:cstheme="majorHAnsi"/>
          <w:i/>
          <w:iCs/>
          <w:sz w:val="24"/>
          <w:szCs w:val="24"/>
        </w:rPr>
      </w:pPr>
      <w:r w:rsidRPr="00174A24">
        <w:rPr>
          <w:rFonts w:asciiTheme="majorHAnsi" w:hAnsiTheme="majorHAnsi" w:cstheme="majorHAnsi"/>
          <w:i/>
          <w:iCs/>
          <w:sz w:val="24"/>
          <w:szCs w:val="24"/>
        </w:rPr>
        <w:t xml:space="preserve">Art. 74. É inexigível a licitação quando inviável a competição, em especial nos casos de: </w:t>
      </w:r>
    </w:p>
    <w:p w14:paraId="7EE6B97E" w14:textId="1F2199F5" w:rsidR="0082214F" w:rsidRPr="00174A24" w:rsidRDefault="0082214F" w:rsidP="002510C6">
      <w:pPr>
        <w:spacing w:line="360" w:lineRule="auto"/>
        <w:ind w:left="4111"/>
        <w:jc w:val="both"/>
        <w:rPr>
          <w:rFonts w:asciiTheme="majorHAnsi" w:hAnsiTheme="majorHAnsi" w:cstheme="majorHAnsi"/>
          <w:i/>
          <w:iCs/>
          <w:sz w:val="24"/>
          <w:szCs w:val="24"/>
        </w:rPr>
      </w:pPr>
      <w:r w:rsidRPr="00174A24">
        <w:rPr>
          <w:rFonts w:asciiTheme="majorHAnsi" w:hAnsiTheme="majorHAnsi" w:cstheme="majorHAnsi"/>
          <w:i/>
          <w:iCs/>
          <w:sz w:val="24"/>
          <w:szCs w:val="24"/>
        </w:rPr>
        <w:t>I - aquisição de materiais, de equipamentos ou de gêneros ou contratação de serviços que só possam ser fornecidos por produtor, empresa ou representante comercial exclusivos;</w:t>
      </w:r>
    </w:p>
    <w:p w14:paraId="015D8415" w14:textId="00C7E374" w:rsidR="00411DA0" w:rsidRPr="00174A24" w:rsidRDefault="00411DA0"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t xml:space="preserve">Assim, este parecer referencial lida com hipótese enquadrável na regra geral do caput do referido artigo 74, bem como em seu inciso I, quando restar demonstrada a exclusividade no fornecimento de </w:t>
      </w:r>
      <w:r w:rsidR="00174A24">
        <w:rPr>
          <w:rFonts w:asciiTheme="majorHAnsi" w:hAnsiTheme="majorHAnsi" w:cstheme="majorHAnsi"/>
          <w:sz w:val="24"/>
          <w:szCs w:val="24"/>
        </w:rPr>
        <w:t xml:space="preserve">Telefonia móvel </w:t>
      </w:r>
      <w:r w:rsidRPr="00174A24">
        <w:rPr>
          <w:rFonts w:asciiTheme="majorHAnsi" w:hAnsiTheme="majorHAnsi" w:cstheme="majorHAnsi"/>
          <w:sz w:val="24"/>
          <w:szCs w:val="24"/>
        </w:rPr>
        <w:t xml:space="preserve"> na base territorial do município, por restar inviabilizada, neste caso, a realização de procedimento licitatório, haja vista a ausência de pressuposto lógico, traduzido na figura do fornecedor exclusivo</w:t>
      </w:r>
    </w:p>
    <w:p w14:paraId="63B69F95" w14:textId="671C1236" w:rsidR="00D859AD" w:rsidRPr="00174A24" w:rsidRDefault="00174A24"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noProof/>
          <w:sz w:val="24"/>
          <w:szCs w:val="24"/>
        </w:rPr>
        <w:drawing>
          <wp:anchor distT="0" distB="0" distL="114300" distR="114300" simplePos="0" relativeHeight="251661312" behindDoc="0" locked="0" layoutInCell="1" allowOverlap="1" wp14:anchorId="071119C6" wp14:editId="67A6234A">
            <wp:simplePos x="0" y="0"/>
            <wp:positionH relativeFrom="rightMargin">
              <wp:posOffset>139031</wp:posOffset>
            </wp:positionH>
            <wp:positionV relativeFrom="paragraph">
              <wp:posOffset>1566645</wp:posOffset>
            </wp:positionV>
            <wp:extent cx="790575" cy="7524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D859AD" w:rsidRPr="00174A24">
        <w:rPr>
          <w:rFonts w:asciiTheme="majorHAnsi" w:hAnsiTheme="majorHAnsi" w:cstheme="majorHAnsi"/>
          <w:sz w:val="24"/>
          <w:szCs w:val="24"/>
        </w:rPr>
        <w:t xml:space="preserve">Em Relação à vigência contratual a Câmara Municipal de Jardim do Seridó adotou o disposto na Orientação Normativa n.º 36, de 13 de dezembro de 2011 da Advocacia Geral da União - AGU, e Instrução Normativa n.º 05, de 25 de maio de 2017 do Ministério do Planejamento, Orçamento e Gestão - MPOG, a qual entende que a Administração pode estabelecer a vigência por prazo indeterminado nos contratos em que seja usuária de serviços </w:t>
      </w:r>
      <w:r w:rsidR="00101EC9" w:rsidRPr="00174A24">
        <w:rPr>
          <w:rFonts w:asciiTheme="majorHAnsi" w:hAnsiTheme="majorHAnsi" w:cstheme="majorHAnsi"/>
          <w:sz w:val="24"/>
          <w:szCs w:val="24"/>
        </w:rPr>
        <w:t>de energia elétrica</w:t>
      </w:r>
      <w:r w:rsidR="00D859AD" w:rsidRPr="00174A24">
        <w:rPr>
          <w:rFonts w:asciiTheme="majorHAnsi" w:hAnsiTheme="majorHAnsi" w:cstheme="majorHAnsi"/>
          <w:sz w:val="24"/>
          <w:szCs w:val="24"/>
        </w:rPr>
        <w:t xml:space="preserve">, desde que no processo da contratação sejam explicitados os motivos que justificam a adoção de prazo indeterminado e </w:t>
      </w:r>
      <w:r w:rsidR="00D859AD" w:rsidRPr="00174A24">
        <w:rPr>
          <w:rFonts w:asciiTheme="majorHAnsi" w:hAnsiTheme="majorHAnsi" w:cstheme="majorHAnsi"/>
          <w:sz w:val="24"/>
          <w:szCs w:val="24"/>
        </w:rPr>
        <w:lastRenderedPageBreak/>
        <w:t>comprovadas, a cada exercício financeiro, a estimativa de consumo de existência de previsão de recursos orçamentários, cuja fundamentação destacamos a seguir:</w:t>
      </w:r>
    </w:p>
    <w:p w14:paraId="7075745B" w14:textId="61ADCF08" w:rsidR="00D859AD" w:rsidRPr="00174A24" w:rsidRDefault="00D859AD" w:rsidP="002510C6">
      <w:pPr>
        <w:spacing w:line="360" w:lineRule="auto"/>
        <w:ind w:left="2124" w:firstLine="1418"/>
        <w:jc w:val="both"/>
        <w:rPr>
          <w:rFonts w:asciiTheme="majorHAnsi" w:hAnsiTheme="majorHAnsi" w:cstheme="majorHAnsi"/>
          <w:i/>
          <w:iCs/>
          <w:sz w:val="24"/>
          <w:szCs w:val="24"/>
        </w:rPr>
      </w:pPr>
      <w:r w:rsidRPr="00174A24">
        <w:rPr>
          <w:rFonts w:asciiTheme="majorHAnsi" w:hAnsiTheme="majorHAnsi" w:cstheme="majorHAnsi"/>
          <w:i/>
          <w:iCs/>
          <w:sz w:val="24"/>
          <w:szCs w:val="24"/>
        </w:rPr>
        <w:t>"A administração pode estabelecer a vigência por prazo indeterminado nos contratos em que seja usuária de serviços públicos essenciais de energia elétrica, água e esgoto, serviços postais monopolizados pela ECT (Empresa Brasileira de Correios e Telégrafos) e ajustes firmados com a Imprensa Nacional, desde que no processo da contratação estejam explicitados os motivos que justificam a adoção do prazo indeterminado e comprovadas, a cada exercício financeiro, a estimativa de consumo e a existência de previsão de recursos orçamentários."</w:t>
      </w:r>
    </w:p>
    <w:p w14:paraId="74374516" w14:textId="416E20D6" w:rsidR="00D859AD" w:rsidRPr="00174A24" w:rsidRDefault="00D859AD"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t xml:space="preserve">Assim, o prazo de vigência contratual será por tempo indeterminado, pois, se trata de serviço essencial para o funcionamento da Câmara Municipal e de seus anexos, permitindo o desempenho de suas atribuições básicas e cuja interrupção pode comprometer a continuidade das atividades finalísticas bem como ao seu suporte e, devido a constante realização da contratação em questão, evita-se, dessa forma, dispêndios de tempo e recursos humanos empregados na instrução processual de nova contratação quando do fim do contrato ora desejado, restando por configurada a necessidade de que a vigência contratual deva estender-se por prazo indeterminado, conforme o entendimento da Orientação Normativa n.º 36/2011 e Instrução Normativa 05/2017, da AGU e MPOG, respectivamente, o que trará economicidade ao órgão, lembrando que anualmente deverá ser estimado o consumo e dotação orçamentária para o próximo exercício. Acrescentamos que os referidos contratos são Contratos de Prestação de Serviços Públicos de Abastecimento de </w:t>
      </w:r>
      <w:r w:rsidR="00A30099" w:rsidRPr="00174A24">
        <w:rPr>
          <w:rFonts w:asciiTheme="majorHAnsi" w:hAnsiTheme="majorHAnsi" w:cstheme="majorHAnsi"/>
          <w:sz w:val="24"/>
          <w:szCs w:val="24"/>
        </w:rPr>
        <w:t>Energia Elétrica</w:t>
      </w:r>
      <w:r w:rsidRPr="00174A24">
        <w:rPr>
          <w:rFonts w:asciiTheme="majorHAnsi" w:hAnsiTheme="majorHAnsi" w:cstheme="majorHAnsi"/>
          <w:sz w:val="24"/>
          <w:szCs w:val="24"/>
        </w:rPr>
        <w:t xml:space="preserve"> por Adesão, sendo que cada prédio tem sua matrícula vinculada junto a </w:t>
      </w:r>
      <w:r w:rsidR="00952FF6" w:rsidRPr="00174A24">
        <w:rPr>
          <w:rFonts w:asciiTheme="majorHAnsi" w:hAnsiTheme="majorHAnsi" w:cstheme="majorHAnsi"/>
          <w:sz w:val="24"/>
          <w:szCs w:val="24"/>
        </w:rPr>
        <w:t>Cosern</w:t>
      </w:r>
      <w:r w:rsidRPr="00174A24">
        <w:rPr>
          <w:rFonts w:asciiTheme="majorHAnsi" w:hAnsiTheme="majorHAnsi" w:cstheme="majorHAnsi"/>
          <w:sz w:val="24"/>
          <w:szCs w:val="24"/>
        </w:rPr>
        <w:t xml:space="preserve"> e seu referido contrato. Conforme informações contidas no próprio contrato, não é necessário assinatura por parte do cliente, pois a relação cliente/fornecedor já existe, abaixo transcrevemos as </w:t>
      </w:r>
      <w:r w:rsidRPr="00174A24">
        <w:rPr>
          <w:rFonts w:asciiTheme="majorHAnsi" w:hAnsiTheme="majorHAnsi" w:cstheme="majorHAnsi"/>
          <w:sz w:val="24"/>
          <w:szCs w:val="24"/>
        </w:rPr>
        <w:lastRenderedPageBreak/>
        <w:t xml:space="preserve">informações retiradas do contrato, disponível no próprio site da empresa. Estamos disponibilizando seu Contrato de Prestação de Serviços Públicos de Abastecimento de </w:t>
      </w:r>
      <w:r w:rsidR="00DD6C9D" w:rsidRPr="00174A24">
        <w:rPr>
          <w:rFonts w:asciiTheme="majorHAnsi" w:hAnsiTheme="majorHAnsi" w:cstheme="majorHAnsi"/>
          <w:sz w:val="24"/>
          <w:szCs w:val="24"/>
        </w:rPr>
        <w:t>Energia Elétrica</w:t>
      </w:r>
      <w:r w:rsidRPr="00174A24">
        <w:rPr>
          <w:rFonts w:asciiTheme="majorHAnsi" w:hAnsiTheme="majorHAnsi" w:cstheme="majorHAnsi"/>
          <w:sz w:val="24"/>
          <w:szCs w:val="24"/>
        </w:rPr>
        <w:t xml:space="preserve">, cujo objetivo é dar transparência acerca dos direitos e deveres da </w:t>
      </w:r>
      <w:r w:rsidR="00952FF6" w:rsidRPr="00174A24">
        <w:rPr>
          <w:rFonts w:asciiTheme="majorHAnsi" w:hAnsiTheme="majorHAnsi" w:cstheme="majorHAnsi"/>
          <w:sz w:val="24"/>
          <w:szCs w:val="24"/>
        </w:rPr>
        <w:t>Cosern</w:t>
      </w:r>
      <w:r w:rsidRPr="00174A24">
        <w:rPr>
          <w:rFonts w:asciiTheme="majorHAnsi" w:hAnsiTheme="majorHAnsi" w:cstheme="majorHAnsi"/>
          <w:sz w:val="24"/>
          <w:szCs w:val="24"/>
        </w:rPr>
        <w:t xml:space="preserve"> e dos seus Clientes. Este contrato está registrado no 2º Ofício de Notas, situado na Av. Alexandrino de Alencar, 1092, CEP 59022-350-Natal/RN-, sob o nº208437, datado de 19 de setembro de 2014. Por ser um contrato por adesão, não há necessidade de assinatura ou devolução por parte do cliente, uma vez que a relação cliente/fornecedor já existe. Desta forma, este ato apenas oficializa o documento e o torna público.</w:t>
      </w:r>
    </w:p>
    <w:p w14:paraId="537FE271" w14:textId="27A2641E" w:rsidR="00B366CF" w:rsidRPr="00174A24" w:rsidRDefault="00D859AD" w:rsidP="00174A24">
      <w:pPr>
        <w:pStyle w:val="Default"/>
        <w:spacing w:line="360" w:lineRule="auto"/>
        <w:ind w:firstLine="1418"/>
        <w:jc w:val="both"/>
        <w:rPr>
          <w:rFonts w:asciiTheme="majorHAnsi" w:hAnsiTheme="majorHAnsi" w:cstheme="majorHAnsi"/>
        </w:rPr>
      </w:pPr>
      <w:r w:rsidRPr="00174A24">
        <w:rPr>
          <w:rFonts w:asciiTheme="majorHAnsi" w:hAnsiTheme="majorHAnsi" w:cstheme="majorHAnsi"/>
        </w:rPr>
        <w:t xml:space="preserve">Verificando-se a documentação acostada aos autos do processo administrativo de inexigibilidade de licitação, destinado a contratação conforme objeto do presente TERMO da CÂMARA MUNICIPAL DE JARDIM DO SERIDÓ, e estando este de acordo com os ditames da Lei nº </w:t>
      </w:r>
      <w:r w:rsidR="004953B9" w:rsidRPr="00174A24">
        <w:rPr>
          <w:rFonts w:asciiTheme="majorHAnsi" w:hAnsiTheme="majorHAnsi" w:cstheme="majorHAnsi"/>
        </w:rPr>
        <w:t>14.133/2021</w:t>
      </w:r>
      <w:r w:rsidRPr="00174A24">
        <w:rPr>
          <w:rFonts w:asciiTheme="majorHAnsi" w:hAnsiTheme="majorHAnsi" w:cstheme="majorHAnsi"/>
        </w:rPr>
        <w:t xml:space="preserve">, e em especial ao caput do art. </w:t>
      </w:r>
      <w:r w:rsidR="004953B9" w:rsidRPr="00174A24">
        <w:rPr>
          <w:rFonts w:asciiTheme="majorHAnsi" w:hAnsiTheme="majorHAnsi" w:cstheme="majorHAnsi"/>
        </w:rPr>
        <w:t>74</w:t>
      </w:r>
      <w:r w:rsidRPr="00174A24">
        <w:rPr>
          <w:rFonts w:asciiTheme="majorHAnsi" w:hAnsiTheme="majorHAnsi" w:cstheme="majorHAnsi"/>
        </w:rPr>
        <w:t xml:space="preserve">, e cumprindo o rito estabelecido no art. </w:t>
      </w:r>
      <w:r w:rsidR="004953B9" w:rsidRPr="00174A24">
        <w:rPr>
          <w:rFonts w:asciiTheme="majorHAnsi" w:hAnsiTheme="majorHAnsi" w:cstheme="majorHAnsi"/>
        </w:rPr>
        <w:t>73</w:t>
      </w:r>
      <w:r w:rsidRPr="00174A24">
        <w:rPr>
          <w:rFonts w:asciiTheme="majorHAnsi" w:hAnsiTheme="majorHAnsi" w:cstheme="majorHAnsi"/>
        </w:rPr>
        <w:t>, opina-se pela CONTRATAÇÃO DIRETA da mencionada empresa, mediante INEXIGIBILIDADE DE LICITAÇÃO, sendo este parecer de forma FAVORÁVEL à contratação da</w:t>
      </w:r>
      <w:r w:rsidR="00952FF6" w:rsidRPr="00174A24">
        <w:rPr>
          <w:rFonts w:asciiTheme="majorHAnsi" w:hAnsiTheme="majorHAnsi" w:cstheme="majorHAnsi"/>
        </w:rPr>
        <w:t xml:space="preserve"> </w:t>
      </w:r>
      <w:r w:rsidR="00174A24" w:rsidRPr="00174A24">
        <w:rPr>
          <w:rFonts w:asciiTheme="majorHAnsi" w:hAnsiTheme="majorHAnsi" w:cstheme="majorHAnsi"/>
        </w:rPr>
        <w:t>Telemar Norte Leste S/A</w:t>
      </w:r>
    </w:p>
    <w:p w14:paraId="7680472E" w14:textId="1B98D25E" w:rsidR="00B366CF" w:rsidRPr="00174A24" w:rsidRDefault="00B366CF" w:rsidP="00952FF6">
      <w:pPr>
        <w:pStyle w:val="Default"/>
        <w:rPr>
          <w:rFonts w:asciiTheme="majorHAnsi" w:hAnsiTheme="majorHAnsi" w:cstheme="majorHAnsi"/>
        </w:rPr>
      </w:pPr>
    </w:p>
    <w:p w14:paraId="1ECE0B24" w14:textId="6C1ED939" w:rsidR="00EB06CF" w:rsidRPr="00174A24" w:rsidRDefault="00EB06CF" w:rsidP="00952FF6">
      <w:pPr>
        <w:pStyle w:val="Default"/>
        <w:rPr>
          <w:rFonts w:asciiTheme="majorHAnsi" w:hAnsiTheme="majorHAnsi" w:cstheme="majorHAnsi"/>
        </w:rPr>
      </w:pPr>
      <w:r w:rsidRPr="00174A24">
        <w:rPr>
          <w:rFonts w:asciiTheme="majorHAnsi" w:hAnsiTheme="majorHAnsi" w:cstheme="majorHAnsi"/>
        </w:rPr>
        <w:t xml:space="preserve">É o parecer, salvo melhor juízo. </w:t>
      </w:r>
    </w:p>
    <w:p w14:paraId="44904D98" w14:textId="77777777" w:rsidR="00952FF6" w:rsidRPr="00174A24" w:rsidRDefault="00952FF6" w:rsidP="002510C6">
      <w:pPr>
        <w:spacing w:line="360" w:lineRule="auto"/>
        <w:ind w:firstLine="1418"/>
        <w:jc w:val="both"/>
        <w:rPr>
          <w:rFonts w:asciiTheme="majorHAnsi" w:hAnsiTheme="majorHAnsi" w:cstheme="majorHAnsi"/>
          <w:sz w:val="24"/>
          <w:szCs w:val="24"/>
        </w:rPr>
      </w:pPr>
    </w:p>
    <w:p w14:paraId="577DBDA5" w14:textId="3A29AB35" w:rsidR="0012526F" w:rsidRPr="00174A24" w:rsidRDefault="00EB06CF" w:rsidP="002510C6">
      <w:pPr>
        <w:spacing w:line="360" w:lineRule="auto"/>
        <w:ind w:firstLine="1418"/>
        <w:jc w:val="both"/>
        <w:rPr>
          <w:rFonts w:asciiTheme="majorHAnsi" w:hAnsiTheme="majorHAnsi" w:cstheme="majorHAnsi"/>
          <w:sz w:val="24"/>
          <w:szCs w:val="24"/>
        </w:rPr>
      </w:pPr>
      <w:r w:rsidRPr="00174A24">
        <w:rPr>
          <w:rFonts w:asciiTheme="majorHAnsi" w:hAnsiTheme="majorHAnsi" w:cstheme="majorHAnsi"/>
          <w:sz w:val="24"/>
          <w:szCs w:val="24"/>
        </w:rPr>
        <w:t xml:space="preserve">Jardim do Seridó - RN, </w:t>
      </w:r>
      <w:r w:rsidR="00174A24" w:rsidRPr="00174A24">
        <w:rPr>
          <w:rFonts w:asciiTheme="majorHAnsi" w:hAnsiTheme="majorHAnsi" w:cstheme="majorHAnsi"/>
          <w:sz w:val="24"/>
          <w:szCs w:val="24"/>
        </w:rPr>
        <w:t>20</w:t>
      </w:r>
      <w:r w:rsidRPr="00174A24">
        <w:rPr>
          <w:rFonts w:asciiTheme="majorHAnsi" w:hAnsiTheme="majorHAnsi" w:cstheme="majorHAnsi"/>
          <w:sz w:val="24"/>
          <w:szCs w:val="24"/>
        </w:rPr>
        <w:t xml:space="preserve"> de </w:t>
      </w:r>
      <w:r w:rsidR="00174A24" w:rsidRPr="00174A24">
        <w:rPr>
          <w:rFonts w:asciiTheme="majorHAnsi" w:hAnsiTheme="majorHAnsi" w:cstheme="majorHAnsi"/>
          <w:sz w:val="24"/>
          <w:szCs w:val="24"/>
        </w:rPr>
        <w:t>fevereiro</w:t>
      </w:r>
      <w:r w:rsidRPr="00174A24">
        <w:rPr>
          <w:rFonts w:asciiTheme="majorHAnsi" w:hAnsiTheme="majorHAnsi" w:cstheme="majorHAnsi"/>
          <w:sz w:val="24"/>
          <w:szCs w:val="24"/>
        </w:rPr>
        <w:t xml:space="preserve"> de 202</w:t>
      </w:r>
      <w:r w:rsidR="00367C26" w:rsidRPr="00174A24">
        <w:rPr>
          <w:rFonts w:asciiTheme="majorHAnsi" w:hAnsiTheme="majorHAnsi" w:cstheme="majorHAnsi"/>
          <w:sz w:val="24"/>
          <w:szCs w:val="24"/>
        </w:rPr>
        <w:t>4</w:t>
      </w:r>
      <w:r w:rsidRPr="00174A24">
        <w:rPr>
          <w:rFonts w:asciiTheme="majorHAnsi" w:hAnsiTheme="majorHAnsi" w:cstheme="majorHAnsi"/>
          <w:sz w:val="24"/>
          <w:szCs w:val="24"/>
        </w:rPr>
        <w:t>.</w:t>
      </w:r>
    </w:p>
    <w:p w14:paraId="18A4E651" w14:textId="005F296E" w:rsidR="00176131" w:rsidRPr="00174A24" w:rsidRDefault="006130FC" w:rsidP="002510C6">
      <w:pPr>
        <w:spacing w:line="360" w:lineRule="auto"/>
        <w:jc w:val="both"/>
        <w:rPr>
          <w:rFonts w:asciiTheme="majorHAnsi" w:hAnsiTheme="majorHAnsi" w:cstheme="majorHAnsi"/>
          <w:sz w:val="24"/>
          <w:szCs w:val="24"/>
        </w:rPr>
      </w:pPr>
      <w:r w:rsidRPr="00174A24">
        <w:rPr>
          <w:rFonts w:asciiTheme="majorHAnsi" w:hAnsiTheme="majorHAnsi" w:cstheme="majorHAnsi"/>
          <w:noProof/>
          <w:sz w:val="24"/>
          <w:szCs w:val="24"/>
        </w:rPr>
        <w:drawing>
          <wp:anchor distT="0" distB="0" distL="114300" distR="114300" simplePos="0" relativeHeight="251658240" behindDoc="0" locked="0" layoutInCell="1" allowOverlap="1" wp14:anchorId="4142A3F1" wp14:editId="753B94F1">
            <wp:simplePos x="0" y="0"/>
            <wp:positionH relativeFrom="column">
              <wp:posOffset>2044065</wp:posOffset>
            </wp:positionH>
            <wp:positionV relativeFrom="paragraph">
              <wp:posOffset>144780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287FB4E2" w14:textId="593C7B9D" w:rsidR="00176131" w:rsidRPr="00174A24" w:rsidRDefault="00176131" w:rsidP="002510C6">
      <w:pPr>
        <w:spacing w:after="0" w:line="360" w:lineRule="auto"/>
        <w:jc w:val="center"/>
        <w:rPr>
          <w:rFonts w:asciiTheme="majorHAnsi" w:hAnsiTheme="majorHAnsi" w:cstheme="majorHAnsi"/>
          <w:sz w:val="24"/>
          <w:szCs w:val="24"/>
        </w:rPr>
      </w:pPr>
      <w:r w:rsidRPr="00174A24">
        <w:rPr>
          <w:rFonts w:asciiTheme="majorHAnsi" w:hAnsiTheme="majorHAnsi" w:cstheme="majorHAnsi"/>
          <w:sz w:val="24"/>
          <w:szCs w:val="24"/>
        </w:rPr>
        <w:t>_____________________________________</w:t>
      </w:r>
    </w:p>
    <w:p w14:paraId="464B08FC" w14:textId="3528E07A" w:rsidR="00176131" w:rsidRPr="00174A24" w:rsidRDefault="00176131" w:rsidP="002510C6">
      <w:pPr>
        <w:spacing w:after="0" w:line="360" w:lineRule="auto"/>
        <w:jc w:val="center"/>
        <w:rPr>
          <w:rFonts w:asciiTheme="majorHAnsi" w:hAnsiTheme="majorHAnsi" w:cstheme="majorHAnsi"/>
          <w:b/>
          <w:bCs/>
          <w:sz w:val="24"/>
          <w:szCs w:val="24"/>
        </w:rPr>
      </w:pPr>
      <w:r w:rsidRPr="00174A24">
        <w:rPr>
          <w:rFonts w:asciiTheme="majorHAnsi" w:hAnsiTheme="majorHAnsi" w:cstheme="majorHAnsi"/>
          <w:b/>
          <w:bCs/>
          <w:sz w:val="24"/>
          <w:szCs w:val="24"/>
        </w:rPr>
        <w:t>LUISIANE MORAIS DA FONSECA</w:t>
      </w:r>
    </w:p>
    <w:p w14:paraId="58C06FBB" w14:textId="4317E781" w:rsidR="00176131" w:rsidRPr="00174A24" w:rsidRDefault="00176131" w:rsidP="002510C6">
      <w:pPr>
        <w:spacing w:line="360" w:lineRule="auto"/>
        <w:jc w:val="center"/>
        <w:rPr>
          <w:rFonts w:asciiTheme="majorHAnsi" w:hAnsiTheme="majorHAnsi" w:cstheme="majorHAnsi"/>
          <w:sz w:val="24"/>
          <w:szCs w:val="24"/>
        </w:rPr>
      </w:pPr>
      <w:r w:rsidRPr="00174A24">
        <w:rPr>
          <w:rFonts w:asciiTheme="majorHAnsi" w:hAnsiTheme="majorHAnsi" w:cstheme="majorHAnsi"/>
          <w:i/>
          <w:iCs/>
          <w:sz w:val="24"/>
          <w:szCs w:val="24"/>
        </w:rPr>
        <w:t>Assessora Jurídica</w:t>
      </w:r>
    </w:p>
    <w:sectPr w:rsidR="00176131" w:rsidRPr="00174A24" w:rsidSect="006C4820">
      <w:headerReference w:type="default" r:id="rId10"/>
      <w:footerReference w:type="default" r:id="rId11"/>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CCF5" w14:textId="77777777" w:rsidR="006C4820" w:rsidRDefault="006C4820" w:rsidP="00A17EBE">
      <w:pPr>
        <w:spacing w:after="0" w:line="240" w:lineRule="auto"/>
      </w:pPr>
      <w:r>
        <w:separator/>
      </w:r>
    </w:p>
  </w:endnote>
  <w:endnote w:type="continuationSeparator" w:id="0">
    <w:p w14:paraId="1D43927C" w14:textId="77777777" w:rsidR="006C4820" w:rsidRDefault="006C4820"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03F8" w14:textId="77777777" w:rsidR="006C4820" w:rsidRDefault="006C4820" w:rsidP="00A17EBE">
      <w:pPr>
        <w:spacing w:after="0" w:line="240" w:lineRule="auto"/>
      </w:pPr>
      <w:r>
        <w:separator/>
      </w:r>
    </w:p>
  </w:footnote>
  <w:footnote w:type="continuationSeparator" w:id="0">
    <w:p w14:paraId="75445D07" w14:textId="77777777" w:rsidR="006C4820" w:rsidRDefault="006C4820"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14B12"/>
    <w:multiLevelType w:val="multilevel"/>
    <w:tmpl w:val="D05868DA"/>
    <w:lvl w:ilvl="0">
      <w:start w:val="1"/>
      <w:numFmt w:val="decimal"/>
      <w:lvlText w:val="%1"/>
      <w:lvlJc w:val="left"/>
      <w:pPr>
        <w:ind w:left="420" w:hanging="420"/>
      </w:pPr>
      <w:rPr>
        <w:rFonts w:cs="Tahoma" w:hint="default"/>
        <w:lang w:val="pt-PT" w:eastAsia="en-US" w:bidi="ar-SA"/>
      </w:rPr>
    </w:lvl>
    <w:lvl w:ilvl="1">
      <w:start w:val="1"/>
      <w:numFmt w:val="decimal"/>
      <w:lvlText w:val="%1.%2"/>
      <w:lvlJc w:val="left"/>
      <w:pPr>
        <w:ind w:left="420" w:hanging="420"/>
      </w:pPr>
      <w:rPr>
        <w:rFonts w:cs="Tahoma" w:hint="default"/>
        <w:b/>
        <w:bCs/>
        <w:spacing w:val="-4"/>
        <w:w w:val="100"/>
        <w:sz w:val="24"/>
        <w:szCs w:val="32"/>
        <w:lang w:val="pt-PT" w:eastAsia="en-US" w:bidi="ar-SA"/>
      </w:rPr>
    </w:lvl>
    <w:lvl w:ilvl="2">
      <w:start w:val="1"/>
      <w:numFmt w:val="decimal"/>
      <w:lvlText w:val="%1.%2.%3"/>
      <w:lvlJc w:val="left"/>
      <w:pPr>
        <w:ind w:left="720" w:hanging="720"/>
      </w:pPr>
      <w:rPr>
        <w:rFonts w:cs="Tahoma" w:hint="default"/>
        <w:b/>
        <w:bCs/>
        <w:spacing w:val="-4"/>
        <w:w w:val="100"/>
        <w:sz w:val="22"/>
        <w:szCs w:val="22"/>
        <w:lang w:val="pt-PT" w:eastAsia="en-US" w:bidi="ar-SA"/>
      </w:rPr>
    </w:lvl>
    <w:lvl w:ilvl="3">
      <w:start w:val="1"/>
      <w:numFmt w:val="decimal"/>
      <w:lvlText w:val="%1.%2.%3.%4"/>
      <w:lvlJc w:val="left"/>
      <w:pPr>
        <w:ind w:left="720" w:hanging="720"/>
      </w:pPr>
      <w:rPr>
        <w:rFonts w:cs="Tahoma" w:hint="default"/>
        <w:i/>
        <w:iCs/>
        <w:lang w:val="pt-PT" w:eastAsia="en-US" w:bidi="ar-SA"/>
      </w:rPr>
    </w:lvl>
    <w:lvl w:ilvl="4">
      <w:start w:val="1"/>
      <w:numFmt w:val="decimal"/>
      <w:lvlText w:val="%1.%2.%3.%4.%5"/>
      <w:lvlJc w:val="left"/>
      <w:pPr>
        <w:ind w:left="1080" w:hanging="1080"/>
      </w:pPr>
      <w:rPr>
        <w:rFonts w:cs="Tahoma" w:hint="default"/>
        <w:lang w:val="pt-PT" w:eastAsia="en-US" w:bidi="ar-SA"/>
      </w:rPr>
    </w:lvl>
    <w:lvl w:ilvl="5">
      <w:start w:val="1"/>
      <w:numFmt w:val="decimal"/>
      <w:lvlText w:val="%1.%2.%3.%4.%5.%6"/>
      <w:lvlJc w:val="left"/>
      <w:pPr>
        <w:ind w:left="1080" w:hanging="1080"/>
      </w:pPr>
      <w:rPr>
        <w:rFonts w:cs="Tahoma" w:hint="default"/>
        <w:lang w:val="pt-PT" w:eastAsia="en-US" w:bidi="ar-SA"/>
      </w:rPr>
    </w:lvl>
    <w:lvl w:ilvl="6">
      <w:start w:val="1"/>
      <w:numFmt w:val="decimal"/>
      <w:lvlText w:val="%1.%2.%3.%4.%5.%6.%7"/>
      <w:lvlJc w:val="left"/>
      <w:pPr>
        <w:ind w:left="1440" w:hanging="1440"/>
      </w:pPr>
      <w:rPr>
        <w:rFonts w:cs="Tahoma" w:hint="default"/>
        <w:lang w:val="pt-PT" w:eastAsia="en-US" w:bidi="ar-SA"/>
      </w:rPr>
    </w:lvl>
    <w:lvl w:ilvl="7">
      <w:start w:val="1"/>
      <w:numFmt w:val="decimal"/>
      <w:lvlText w:val="%1.%2.%3.%4.%5.%6.%7.%8"/>
      <w:lvlJc w:val="left"/>
      <w:pPr>
        <w:ind w:left="1440" w:hanging="1440"/>
      </w:pPr>
      <w:rPr>
        <w:rFonts w:cs="Tahoma" w:hint="default"/>
        <w:lang w:val="pt-PT" w:eastAsia="en-US" w:bidi="ar-SA"/>
      </w:rPr>
    </w:lvl>
    <w:lvl w:ilvl="8">
      <w:start w:val="1"/>
      <w:numFmt w:val="decimal"/>
      <w:lvlText w:val="%1.%2.%3.%4.%5.%6.%7.%8.%9"/>
      <w:lvlJc w:val="left"/>
      <w:pPr>
        <w:ind w:left="1800" w:hanging="1800"/>
      </w:pPr>
      <w:rPr>
        <w:rFonts w:cs="Tahoma" w:hint="default"/>
        <w:lang w:val="pt-PT" w:eastAsia="en-US" w:bidi="ar-SA"/>
      </w:rPr>
    </w:lvl>
  </w:abstractNum>
  <w:num w:numId="1" w16cid:durableId="6892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01F6A"/>
    <w:rsid w:val="000603AF"/>
    <w:rsid w:val="00077568"/>
    <w:rsid w:val="000913FE"/>
    <w:rsid w:val="00095087"/>
    <w:rsid w:val="00101EC9"/>
    <w:rsid w:val="0012526F"/>
    <w:rsid w:val="00143147"/>
    <w:rsid w:val="00145FB3"/>
    <w:rsid w:val="00152D9A"/>
    <w:rsid w:val="00164315"/>
    <w:rsid w:val="00174A24"/>
    <w:rsid w:val="00176131"/>
    <w:rsid w:val="00192BF7"/>
    <w:rsid w:val="00247BB3"/>
    <w:rsid w:val="002510C6"/>
    <w:rsid w:val="00284DE1"/>
    <w:rsid w:val="002D3CBD"/>
    <w:rsid w:val="00367C26"/>
    <w:rsid w:val="003C2973"/>
    <w:rsid w:val="003C7203"/>
    <w:rsid w:val="003D5497"/>
    <w:rsid w:val="003E7973"/>
    <w:rsid w:val="004063F5"/>
    <w:rsid w:val="00411DA0"/>
    <w:rsid w:val="00417A4E"/>
    <w:rsid w:val="004953B9"/>
    <w:rsid w:val="004A566F"/>
    <w:rsid w:val="004A7EA3"/>
    <w:rsid w:val="00502F87"/>
    <w:rsid w:val="0051469F"/>
    <w:rsid w:val="00564AD3"/>
    <w:rsid w:val="005C3229"/>
    <w:rsid w:val="006130FC"/>
    <w:rsid w:val="00671505"/>
    <w:rsid w:val="006810BC"/>
    <w:rsid w:val="006C44B9"/>
    <w:rsid w:val="006C4820"/>
    <w:rsid w:val="006F1842"/>
    <w:rsid w:val="00797542"/>
    <w:rsid w:val="007E40F7"/>
    <w:rsid w:val="0082214F"/>
    <w:rsid w:val="00880F41"/>
    <w:rsid w:val="00903C0E"/>
    <w:rsid w:val="00932D60"/>
    <w:rsid w:val="00933DE6"/>
    <w:rsid w:val="00952FF6"/>
    <w:rsid w:val="00987B57"/>
    <w:rsid w:val="00A17EBE"/>
    <w:rsid w:val="00A30099"/>
    <w:rsid w:val="00A51837"/>
    <w:rsid w:val="00AA07AA"/>
    <w:rsid w:val="00AF6118"/>
    <w:rsid w:val="00B366CF"/>
    <w:rsid w:val="00B55AB1"/>
    <w:rsid w:val="00B56A23"/>
    <w:rsid w:val="00B96102"/>
    <w:rsid w:val="00BE6A62"/>
    <w:rsid w:val="00C14643"/>
    <w:rsid w:val="00C175CE"/>
    <w:rsid w:val="00C266D1"/>
    <w:rsid w:val="00C324C0"/>
    <w:rsid w:val="00CA7BC1"/>
    <w:rsid w:val="00CB1EBC"/>
    <w:rsid w:val="00CE2C00"/>
    <w:rsid w:val="00D17328"/>
    <w:rsid w:val="00D17DDA"/>
    <w:rsid w:val="00D459C5"/>
    <w:rsid w:val="00D47893"/>
    <w:rsid w:val="00D611B2"/>
    <w:rsid w:val="00D859AD"/>
    <w:rsid w:val="00DD6C9D"/>
    <w:rsid w:val="00E0473A"/>
    <w:rsid w:val="00E41507"/>
    <w:rsid w:val="00EB06CF"/>
    <w:rsid w:val="00EE4AF6"/>
    <w:rsid w:val="00F71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link w:val="PargrafodaListaChar"/>
    <w:uiPriority w:val="1"/>
    <w:qFormat/>
    <w:rsid w:val="004A7EA3"/>
    <w:pPr>
      <w:ind w:left="720"/>
      <w:contextualSpacing/>
    </w:pPr>
  </w:style>
  <w:style w:type="paragraph" w:customStyle="1" w:styleId="Default">
    <w:name w:val="Default"/>
    <w:rsid w:val="00AF61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grafodaListaChar">
    <w:name w:val="Parágrafo da Lista Char"/>
    <w:basedOn w:val="Fontepargpadro"/>
    <w:link w:val="PargrafodaLista"/>
    <w:uiPriority w:val="1"/>
    <w:rsid w:val="003C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129A-216A-4EA6-8B23-8BC8B7C4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1292</Words>
  <Characters>6982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Pregoeiro Câmara</cp:lastModifiedBy>
  <cp:revision>5</cp:revision>
  <cp:lastPrinted>2024-02-20T12:47:00Z</cp:lastPrinted>
  <dcterms:created xsi:type="dcterms:W3CDTF">2024-02-20T12:12:00Z</dcterms:created>
  <dcterms:modified xsi:type="dcterms:W3CDTF">2024-02-20T12:47:00Z</dcterms:modified>
</cp:coreProperties>
</file>