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773D" w14:textId="77777777" w:rsidR="00B666C8" w:rsidRPr="00C010D3" w:rsidRDefault="00B666C8" w:rsidP="00B666C8">
      <w:pPr>
        <w:spacing w:before="280" w:after="280" w:line="360" w:lineRule="auto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sz w:val="28"/>
          <w:szCs w:val="28"/>
        </w:rPr>
        <w:t>P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ROCESSO Nº: 1.023.025/2023</w:t>
      </w:r>
    </w:p>
    <w:p w14:paraId="39014E94" w14:textId="77777777" w:rsidR="00B666C8" w:rsidRPr="00C010D3" w:rsidRDefault="00B666C8" w:rsidP="00B666C8">
      <w:pPr>
        <w:spacing w:before="280" w:after="280" w:line="360" w:lineRule="auto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INTERESSADO: Câmara Municipal de Jardim do Seridó</w:t>
      </w:r>
    </w:p>
    <w:p w14:paraId="023052D2" w14:textId="4C9C01E2" w:rsidR="00B666C8" w:rsidRPr="00C010D3" w:rsidRDefault="00B666C8" w:rsidP="00B666C8">
      <w:pPr>
        <w:spacing w:before="280" w:after="280" w:line="360" w:lineRule="auto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ASSUNTO:  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Solicitação de Parecer sobre requisição da empresa quanto a manutenção do EQUILÍBRIO ECONÔMICO FINANCEIRO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, registro de preço destinado a contratação de empresa para a elaboração de projetos de interiores, arquitetônicos de engenharia e fiscalização visando atender as necessidades da Câmara Municipal de Jardim do Seridó/RN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.</w:t>
      </w:r>
    </w:p>
    <w:p w14:paraId="438509AC" w14:textId="18D00D20" w:rsidR="008E2006" w:rsidRPr="00C010D3" w:rsidRDefault="008E2006" w:rsidP="00FE09B7">
      <w:pPr>
        <w:pStyle w:val="Ttulo1"/>
        <w:spacing w:before="0" w:line="360" w:lineRule="auto"/>
        <w:jc w:val="both"/>
        <w:rPr>
          <w:rFonts w:asciiTheme="minorHAnsi" w:eastAsia="Times New Roman" w:hAnsiTheme="minorHAnsi" w:cstheme="minorHAnsi"/>
          <w:b w:val="0"/>
          <w:color w:val="000000" w:themeColor="text1"/>
          <w:sz w:val="28"/>
        </w:rPr>
      </w:pPr>
    </w:p>
    <w:p w14:paraId="5793BB8A" w14:textId="77777777" w:rsidR="007F7251" w:rsidRPr="00C010D3" w:rsidRDefault="008B723E" w:rsidP="00FE09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left="-142" w:firstLine="1843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RELATÓRIO</w:t>
      </w:r>
    </w:p>
    <w:p w14:paraId="4C8F3E4D" w14:textId="687B3089" w:rsidR="007F7251" w:rsidRPr="00C010D3" w:rsidRDefault="007F7251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firstLine="1701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C010D3">
        <w:rPr>
          <w:rFonts w:cstheme="minorHAnsi"/>
          <w:bCs/>
          <w:color w:val="000000" w:themeColor="text1"/>
          <w:sz w:val="28"/>
          <w:szCs w:val="28"/>
        </w:rPr>
        <w:t>Esta Assessoria Jurídica já examinou o cumprimento das etapas obrigatórias e as respectivas documentações relativas à fase externa deste certame licitatório, já tendo atestado a legitimidade do procedimento do Pregão Eletrônico n. 00</w:t>
      </w:r>
      <w:r w:rsidR="00B666C8" w:rsidRPr="00C010D3">
        <w:rPr>
          <w:rFonts w:cstheme="minorHAnsi"/>
          <w:bCs/>
          <w:color w:val="000000" w:themeColor="text1"/>
          <w:sz w:val="28"/>
          <w:szCs w:val="28"/>
        </w:rPr>
        <w:t>8</w:t>
      </w:r>
      <w:r w:rsidRPr="00C010D3">
        <w:rPr>
          <w:rFonts w:cstheme="minorHAnsi"/>
          <w:bCs/>
          <w:color w:val="000000" w:themeColor="text1"/>
          <w:sz w:val="28"/>
          <w:szCs w:val="28"/>
        </w:rPr>
        <w:t>/202</w:t>
      </w:r>
      <w:r w:rsidR="00B666C8" w:rsidRPr="00C010D3">
        <w:rPr>
          <w:rFonts w:cstheme="minorHAnsi"/>
          <w:bCs/>
          <w:color w:val="000000" w:themeColor="text1"/>
          <w:sz w:val="28"/>
          <w:szCs w:val="28"/>
        </w:rPr>
        <w:t>3 nos termos</w:t>
      </w:r>
      <w:r w:rsidRPr="00C010D3">
        <w:rPr>
          <w:rFonts w:cstheme="minorHAnsi"/>
          <w:bCs/>
          <w:color w:val="000000" w:themeColor="text1"/>
          <w:sz w:val="28"/>
          <w:szCs w:val="28"/>
        </w:rPr>
        <w:t xml:space="preserve">. </w:t>
      </w:r>
    </w:p>
    <w:p w14:paraId="4AAA5D80" w14:textId="1167EF05" w:rsidR="006B232D" w:rsidRPr="00C010D3" w:rsidRDefault="007F7251" w:rsidP="006B232D">
      <w:pPr>
        <w:spacing w:before="280" w:after="28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cstheme="minorHAnsi"/>
          <w:bCs/>
          <w:color w:val="000000" w:themeColor="text1"/>
          <w:sz w:val="28"/>
          <w:szCs w:val="28"/>
        </w:rPr>
        <w:t xml:space="preserve">Contudo, a empresa contratada apresentou </w:t>
      </w:r>
      <w:r w:rsidR="00B666C8" w:rsidRPr="00C010D3">
        <w:rPr>
          <w:rFonts w:cstheme="minorHAnsi"/>
          <w:bCs/>
          <w:color w:val="000000" w:themeColor="text1"/>
          <w:sz w:val="28"/>
          <w:szCs w:val="28"/>
        </w:rPr>
        <w:t xml:space="preserve">ofício protocolado na data de __________ </w:t>
      </w:r>
      <w:proofErr w:type="spellStart"/>
      <w:r w:rsidR="00B666C8" w:rsidRPr="00C010D3">
        <w:rPr>
          <w:rFonts w:cstheme="minorHAnsi"/>
          <w:bCs/>
          <w:color w:val="000000" w:themeColor="text1"/>
          <w:sz w:val="28"/>
          <w:szCs w:val="28"/>
        </w:rPr>
        <w:t>de</w:t>
      </w:r>
      <w:proofErr w:type="spellEnd"/>
      <w:r w:rsidR="00B666C8" w:rsidRPr="00C010D3">
        <w:rPr>
          <w:rFonts w:cstheme="minorHAnsi"/>
          <w:bCs/>
          <w:color w:val="000000" w:themeColor="text1"/>
          <w:sz w:val="28"/>
          <w:szCs w:val="28"/>
        </w:rPr>
        <w:t xml:space="preserve"> 2024, onde solicita EQUILÍBRIO ECONÔMICO E FINANCEIRO, considerando que </w:t>
      </w:r>
      <w:r w:rsidR="006B232D" w:rsidRPr="00C010D3">
        <w:rPr>
          <w:rFonts w:cstheme="minorHAnsi"/>
          <w:bCs/>
          <w:color w:val="000000" w:themeColor="text1"/>
          <w:sz w:val="28"/>
          <w:szCs w:val="28"/>
        </w:rPr>
        <w:t xml:space="preserve">o serviço do contrato nº 002/2024, proveniente do Processo Administrativo nº </w:t>
      </w:r>
      <w:r w:rsidR="006B232D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1.023.025/2023</w:t>
      </w:r>
      <w:r w:rsidR="006B232D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, cujo objeto é </w:t>
      </w:r>
      <w:r w:rsidR="006B232D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registro de preço destinado a contratação de empresa para a elaboração de projetos de interiores, arquitetônicos de engenharia e fiscalização visando atender as necessidades da Câmara Municipal de </w:t>
      </w:r>
      <w:r w:rsidR="006B232D" w:rsidRPr="00C010D3">
        <w:rPr>
          <w:rFonts w:eastAsia="Times New Roman" w:cstheme="minorHAnsi"/>
          <w:bCs/>
          <w:color w:val="000000" w:themeColor="text1"/>
          <w:sz w:val="28"/>
          <w:szCs w:val="28"/>
        </w:rPr>
        <w:lastRenderedPageBreak/>
        <w:t>Jardim do Seridó/RN</w:t>
      </w:r>
      <w:r w:rsidR="006B232D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, argumentando que a obra tende a se estender devido as necessidades da obra que está sendo fiscalizada pela contratada. </w:t>
      </w:r>
    </w:p>
    <w:p w14:paraId="1E96FD60" w14:textId="77777777" w:rsidR="00C57484" w:rsidRPr="00C010D3" w:rsidRDefault="004468F7" w:rsidP="00C57484">
      <w:pPr>
        <w:spacing w:before="280" w:after="28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Anexo ao processo está o ofício nº 02/2024</w:t>
      </w:r>
      <w:r w:rsidR="00DF42B2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contendo o valor da hora do serviço de fiscalização de realização da obra realizado pelo engenheiro </w:t>
      </w:r>
      <w:r w:rsidR="00C57484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e publicado pelo SINAPI – Sistema Nacional de Pesquisa de Custos e Índices da Construção Civil.</w:t>
      </w:r>
      <w:r w:rsidR="00DF42B2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</w:t>
      </w:r>
    </w:p>
    <w:p w14:paraId="121F3F1E" w14:textId="7070486A" w:rsidR="007F7251" w:rsidRPr="00C010D3" w:rsidRDefault="007F7251" w:rsidP="00C57484">
      <w:pPr>
        <w:spacing w:before="280" w:after="28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cstheme="minorHAnsi"/>
          <w:bCs/>
          <w:color w:val="000000" w:themeColor="text1"/>
          <w:sz w:val="28"/>
          <w:szCs w:val="28"/>
        </w:rPr>
        <w:t>É a síntese do necessário.</w:t>
      </w:r>
    </w:p>
    <w:p w14:paraId="550D4304" w14:textId="4E58E568" w:rsidR="007F7251" w:rsidRPr="00C010D3" w:rsidRDefault="002E6589" w:rsidP="00FE09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after="0" w:line="360" w:lineRule="auto"/>
        <w:ind w:left="-142" w:firstLine="1843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ANÁLISE JURÍDICA</w:t>
      </w:r>
    </w:p>
    <w:p w14:paraId="72ACAA79" w14:textId="31FFA95A" w:rsidR="006642BA" w:rsidRPr="00C010D3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Em análise a ata presente aos autos, verifica-se que </w:t>
      </w:r>
      <w:r w:rsidR="00C57484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a execução contratual vem transcorrendo em alinhamento com a legislação vigente e obedecendo ao instrumento convocatório e aos termos contratuais.</w:t>
      </w:r>
    </w:p>
    <w:p w14:paraId="0CF2B1F1" w14:textId="77777777" w:rsidR="00CD0989" w:rsidRPr="00C010D3" w:rsidRDefault="00CD0989" w:rsidP="00CD0989">
      <w:pPr>
        <w:ind w:firstLine="1701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C010D3">
        <w:rPr>
          <w:rFonts w:cstheme="minorHAnsi"/>
          <w:bCs/>
          <w:color w:val="000000" w:themeColor="text1"/>
          <w:sz w:val="28"/>
          <w:szCs w:val="28"/>
        </w:rPr>
        <w:t>O  reequilíbrio econômico financeiro serve para manter a justa relação econômica entre contratado e contratante. Apesar do reequilíbrio ser frequentemente utilizado para aumentar os valores de contrato, sua aplicação serve tanto para aumentar, quanto para reduzir. Previsão Legal</w:t>
      </w:r>
    </w:p>
    <w:p w14:paraId="55A12B37" w14:textId="5855D240" w:rsidR="00CD0989" w:rsidRPr="00C010D3" w:rsidRDefault="00CD0989" w:rsidP="00CD0989">
      <w:pPr>
        <w:pStyle w:val="NormalWeb"/>
        <w:shd w:val="clear" w:color="auto" w:fill="FFFFFF"/>
        <w:spacing w:before="0" w:beforeAutospacing="0" w:after="420" w:afterAutospacing="0"/>
        <w:ind w:firstLine="1701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Trata-se de um direito previsto na Constituição Federal, que garante que devem ser “mantidas as condições efetivas da proposta” (art. 37, inc. XXI). </w:t>
      </w:r>
    </w:p>
    <w:p w14:paraId="69A9ACCB" w14:textId="77777777" w:rsidR="00CD0989" w:rsidRPr="00C010D3" w:rsidRDefault="00CD0989" w:rsidP="00CD0989">
      <w:pPr>
        <w:pStyle w:val="NormalWeb"/>
        <w:shd w:val="clear" w:color="auto" w:fill="FFFFFF"/>
        <w:spacing w:before="0" w:beforeAutospacing="0" w:after="420" w:afterAutospacing="0"/>
        <w:ind w:firstLine="1701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2854F31A" w14:textId="48DDA557" w:rsidR="0053467B" w:rsidRPr="00C010D3" w:rsidRDefault="0053467B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lastRenderedPageBreak/>
        <w:t xml:space="preserve">É dever da Administração Pública verificar a compatibilidade dos preços contratados com a média do mercado em diversos momentos da licitação e </w:t>
      </w: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</w:rPr>
        <w:t>da execução do contrato</w:t>
      </w: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. Assim, cabe à Administração, </w:t>
      </w:r>
      <w:r w:rsidR="00350DEA"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além de antes de </w:t>
      </w: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lançar o edital de forma planejada efetuar uma técnica pesquisa de preços, avaliar a compatibilidade de preços no momento do julgamento das propostas e da adjudicação do objeto ao vencedor</w:t>
      </w:r>
      <w:r w:rsidR="00350DEA"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e, não obstante, observar a necessidade de manter o equilíbrio econômico-financeiro na execução de um contrato</w:t>
      </w: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</w:p>
    <w:p w14:paraId="5DFEEED5" w14:textId="77777777" w:rsidR="0053467B" w:rsidRDefault="0053467B" w:rsidP="00FE09B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Durante a execução contratual, deve a Administração a todo tempo verificar se houve alterações nas condições do mercado que tornaram os preços contratados inadequados. Nesse caso, é possível que haja até mesmo o reequilíbrio econômico-financeiro em favor da Administração, o que infelizmente ainda é prática ainda pouco observada no Brasil.</w:t>
      </w:r>
    </w:p>
    <w:p w14:paraId="2FF4EAEA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Porém, no caso em tela, a empresa PLANO SOLUÇÕES E ENGENHARIA LTDA, CNPJ 46.421.888/0001-37 veio a borda do processo, solicitar o equilíbrio econômico e financeiro do contrato considerando que o SINAPI – Sistema Nacional de Pesquisa de Custos e Índices da Construção Civil publicou o valor da hora a ser cobrada pelo engenheiro a partir do mês de janeiro de 2024 no valor de R$ 158,97 (cento e cinquenta e oito reais e noventa e sete centavos), contudo o valor que atualmente está sendo pago é R$ 70,00 (setenta reais), implicando numa diferença substancial.</w:t>
      </w:r>
    </w:p>
    <w:p w14:paraId="61E4E13B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lastRenderedPageBreak/>
        <w:t>Diante da Nova Lei de Licitações, no tema dos contratos, certamente um dos institutos mais sofisticados e que geram o maior foco de controvérsias é o (</w:t>
      </w:r>
      <w:proofErr w:type="spellStart"/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re</w:t>
      </w:r>
      <w:proofErr w:type="spellEnd"/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)equilíbrio econômico-financeiro. </w:t>
      </w:r>
    </w:p>
    <w:p w14:paraId="24A1868D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 legislação acima referida tratou do reequilíbrio desenhando o assunto a partir da rubrica: "Da alteração dos contratos e dos preços" (artigos 124 a 136).</w:t>
      </w:r>
    </w:p>
    <w:p w14:paraId="63B39B33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Conforme o texto da Lei nº 14.133/2021, a repactuação do equilíbrio econômico-financeiro inicial do contrato pode ser feita:</w:t>
      </w:r>
    </w:p>
    <w:p w14:paraId="7C55D468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Então, esse manancial de variadas formas de reequilíbrio pode ser dividido em dois grandes grupos:</w:t>
      </w:r>
    </w:p>
    <w:p w14:paraId="03C294AB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1) Aquelas causadas por ato interno à relação contratual e causadas pela Administração Pública, impactando no objeto originalmente contratado. Nesse caso, as alterações são limitadas pelos percentuais do artigo 125 — é acontecimento interno à relação contratual; Não é o nosso caso.</w:t>
      </w:r>
    </w:p>
    <w:p w14:paraId="5ACE1366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2) Aquelas causadas por ato externo à relação contratual, e que geram impactos no sinalagma do negócio. Nesse caso, a alteração do preço pode ser feita para além dos limites percentuais do artigo 125 da Lei nº 14.133/2021. Exatamente onde se configura o caso em tela.</w:t>
      </w:r>
    </w:p>
    <w:p w14:paraId="2ECB217F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lastRenderedPageBreak/>
        <w:t>Nesse último caso (que é o nosso), a parte final da alínea "d" do inciso II do artigo 124 dialoga com o artigo 6º, inciso XXVII, artigo 22; artigo 92, inciso IX; e artigo 103, que tratam da matriz ou alocação de riscos. Antes de se pensar em procurar a solução nas regras da Lei nº 14.133/2021, as partes deverão mirar o conteúdo do contrato, a fim de saber se existe cláusula dizendo quem deve eventualmente suportar uma onerosidade futura, de modo que deve ser respeitada, em qualquer caso, a repartição objetiva de risco estabelecida no contrato.</w:t>
      </w:r>
    </w:p>
    <w:p w14:paraId="41D0DF20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O artigo 125 afirma que nas "alterações unilaterais" (não nas bilaterais, como aquela a ser aqui abordada), possuem limites: "O contratado será obrigado a aceitar, nas mesmas condições contratuais, acréscimos ou supressões de até 25% do valor inicial atualizado do contrato que se fizerem nas obras, nos serviços ou nas compras, e, no caso de reforma de edifício ou de equipamento, o limite para os acréscimos será de 50%".</w:t>
      </w:r>
    </w:p>
    <w:p w14:paraId="050CAE3D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Conclui-se, contudo, que nas modificações bilaterais não há esses limitadores. O particular contratado e o Poder Público contratante poderão pactuar a alteração do ajuste sem respeitar os limites percentuais mencionados, podendo aumentar o valor inicial em percentual acima do comentado no parágrafo anterior, exatamente o que retrata o caso sob nossa análise.</w:t>
      </w:r>
    </w:p>
    <w:p w14:paraId="528504F2" w14:textId="77777777" w:rsidR="006B2287" w:rsidRPr="006B2287" w:rsidRDefault="006B2287" w:rsidP="006B2287">
      <w:pPr>
        <w:pStyle w:val="NormalWeb"/>
        <w:spacing w:after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0F3A0753" w14:textId="541B86E3" w:rsidR="006B2287" w:rsidRPr="00C010D3" w:rsidRDefault="006B2287" w:rsidP="006B228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6B2287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Diante desse contexto, ressalte-se, a Nova Lei de Licitações e Contratos da Gestão Pública, a Lei nº 14.133/2020, assim dispõe:</w:t>
      </w:r>
    </w:p>
    <w:p w14:paraId="11B8302D" w14:textId="77777777" w:rsidR="006B2287" w:rsidRDefault="006B2287" w:rsidP="00CD0989">
      <w:pPr>
        <w:pStyle w:val="NormalWeb"/>
        <w:shd w:val="clear" w:color="auto" w:fill="FFFFFF"/>
        <w:spacing w:before="0" w:beforeAutospacing="0" w:after="420" w:afterAutospacing="0"/>
        <w:ind w:left="3261"/>
        <w:jc w:val="both"/>
        <w:textAlignment w:val="baseline"/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</w:pPr>
    </w:p>
    <w:p w14:paraId="0C4EE7F4" w14:textId="77777777" w:rsidR="006B2287" w:rsidRDefault="006B2287" w:rsidP="00CD0989">
      <w:pPr>
        <w:pStyle w:val="NormalWeb"/>
        <w:shd w:val="clear" w:color="auto" w:fill="FFFFFF"/>
        <w:spacing w:before="0" w:beforeAutospacing="0" w:after="420" w:afterAutospacing="0"/>
        <w:ind w:left="3261"/>
        <w:jc w:val="both"/>
        <w:textAlignment w:val="baseline"/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</w:pPr>
    </w:p>
    <w:p w14:paraId="7FAB6219" w14:textId="621CF77A" w:rsidR="00CD0989" w:rsidRPr="00C010D3" w:rsidRDefault="00CD0989" w:rsidP="00CD0989">
      <w:pPr>
        <w:pStyle w:val="NormalWeb"/>
        <w:shd w:val="clear" w:color="auto" w:fill="FFFFFF"/>
        <w:spacing w:before="0" w:beforeAutospacing="0" w:after="420" w:afterAutospacing="0"/>
        <w:ind w:left="3261"/>
        <w:jc w:val="both"/>
        <w:textAlignment w:val="baseline"/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  <w:t>Art. 124. Os contratos regidos por esta Lei poderão ser alterados, com as devidas justificativas, nos seguintes casos:</w:t>
      </w:r>
    </w:p>
    <w:p w14:paraId="6CDF492C" w14:textId="77777777" w:rsidR="00CD0989" w:rsidRPr="00C010D3" w:rsidRDefault="00CD0989" w:rsidP="00CD0989">
      <w:pPr>
        <w:pStyle w:val="NormalWeb"/>
        <w:shd w:val="clear" w:color="auto" w:fill="FFFFFF"/>
        <w:spacing w:before="0" w:beforeAutospacing="0" w:after="420" w:afterAutospacing="0"/>
        <w:ind w:left="3261"/>
        <w:jc w:val="both"/>
        <w:textAlignment w:val="baseline"/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  <w:t>II – por acordo entre as partes:</w:t>
      </w:r>
    </w:p>
    <w:p w14:paraId="4D0712FF" w14:textId="77777777" w:rsidR="00CD0989" w:rsidRPr="00C010D3" w:rsidRDefault="00CD0989" w:rsidP="00CD0989">
      <w:pPr>
        <w:pStyle w:val="NormalWeb"/>
        <w:shd w:val="clear" w:color="auto" w:fill="FFFFFF"/>
        <w:spacing w:before="0" w:beforeAutospacing="0" w:after="420" w:afterAutospacing="0"/>
        <w:ind w:left="3261"/>
        <w:jc w:val="both"/>
        <w:textAlignment w:val="baseline"/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</w:pPr>
      <w:r w:rsidRPr="00C010D3">
        <w:rPr>
          <w:rFonts w:asciiTheme="minorHAnsi" w:hAnsiTheme="minorHAnsi" w:cstheme="minorHAnsi"/>
          <w:bCs/>
          <w:i/>
          <w:iCs/>
          <w:color w:val="000000" w:themeColor="text1"/>
          <w:sz w:val="28"/>
          <w:szCs w:val="28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588F2D6A" w14:textId="23709DC6" w:rsidR="00840D13" w:rsidRPr="00C010D3" w:rsidRDefault="00840D13" w:rsidP="00FE09B7">
      <w:pPr>
        <w:spacing w:after="0" w:line="360" w:lineRule="auto"/>
        <w:ind w:firstLine="1701"/>
        <w:jc w:val="both"/>
        <w:rPr>
          <w:rFonts w:cstheme="minorHAnsi"/>
          <w:bCs/>
          <w:color w:val="000000" w:themeColor="text1"/>
          <w:sz w:val="28"/>
          <w:szCs w:val="28"/>
          <w:shd w:val="clear" w:color="auto" w:fill="FCF9F6"/>
        </w:rPr>
      </w:pPr>
    </w:p>
    <w:p w14:paraId="0EE36879" w14:textId="6F66B777" w:rsidR="00340BAC" w:rsidRPr="00340BAC" w:rsidRDefault="00F66AA0" w:rsidP="006B2287">
      <w:pPr>
        <w:shd w:val="clear" w:color="auto" w:fill="FFFFFF"/>
        <w:spacing w:after="0" w:line="360" w:lineRule="auto"/>
        <w:ind w:firstLine="1701"/>
        <w:jc w:val="both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Note-se que o fornecedor obedeceu a sistemática de exigências para </w:t>
      </w:r>
      <w:r w:rsidR="00340BAC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sustentar seu preço. Elaborou </w:t>
      </w:r>
      <w:r w:rsidR="00340BAC" w:rsidRPr="00340BAC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documento formal para solicitá-lo;</w:t>
      </w:r>
      <w:r w:rsidR="00340BAC" w:rsidRPr="00C010D3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J</w:t>
      </w:r>
      <w:r w:rsidR="00340BAC" w:rsidRPr="00340BAC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ustificação </w:t>
      </w:r>
      <w:r w:rsidR="00340BAC" w:rsidRPr="00C010D3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>o</w:t>
      </w:r>
      <w:r w:rsidR="00340BAC" w:rsidRPr="00340BAC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seu cabimento;</w:t>
      </w:r>
      <w:r w:rsidR="00340BAC" w:rsidRPr="00C010D3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 Utilizou a </w:t>
      </w:r>
      <w:r w:rsidR="00340BAC" w:rsidRPr="00340BAC">
        <w:rPr>
          <w:rFonts w:eastAsia="Times New Roman" w:cstheme="minorHAnsi"/>
          <w:bCs/>
          <w:color w:val="000000" w:themeColor="text1"/>
          <w:sz w:val="28"/>
          <w:szCs w:val="28"/>
          <w:lang w:eastAsia="pt-BR"/>
        </w:rPr>
        <w:t xml:space="preserve">justificativa legal para o seu pleito; </w:t>
      </w:r>
    </w:p>
    <w:p w14:paraId="4A0CC88F" w14:textId="1A325382" w:rsidR="00840D13" w:rsidRPr="00C010D3" w:rsidRDefault="00340BAC" w:rsidP="00FE09B7">
      <w:pPr>
        <w:spacing w:after="0" w:line="360" w:lineRule="auto"/>
        <w:ind w:firstLine="1701"/>
        <w:jc w:val="both"/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lastRenderedPageBreak/>
        <w:t>Considerando, por fim, que o</w:t>
      </w:r>
      <w:r w:rsidRPr="00C010D3">
        <w:rPr>
          <w:rStyle w:val="Forte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 xml:space="preserve"> princípio da manutenção do equilíbrio econômico-financeiro tem origem constitucional e expressa previsão legal, devendo ser garantido o direito ao reequilíbrio toda vez que o contratado ou contratante tiver que suportar eventual onerosidade não prevista inicialmente</w:t>
      </w: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. Isto é, a Constituição garante aos particulares que contratam com a Administração o direito à manutenção das “condições efetivas da proposta” apresentada durante o processo licitatório (artigo 37, inciso XXI).</w:t>
      </w:r>
    </w:p>
    <w:p w14:paraId="66E3391B" w14:textId="21A7649A" w:rsidR="00340BAC" w:rsidRPr="00C010D3" w:rsidRDefault="00340BAC" w:rsidP="00FE09B7">
      <w:pPr>
        <w:spacing w:after="0" w:line="360" w:lineRule="auto"/>
        <w:ind w:firstLine="1701"/>
        <w:jc w:val="both"/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</w:pP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Considerando, igualmente, os termos do Ofício nº 02/2024, que expressa a solicitação da empresa e a sua justificativa.</w:t>
      </w:r>
    </w:p>
    <w:p w14:paraId="58086BCF" w14:textId="77777777" w:rsidR="00340BAC" w:rsidRPr="00C010D3" w:rsidRDefault="00340BAC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Orientamos pela </w:t>
      </w: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>necessidade</w:t>
      </w: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 xml:space="preserve"> de restabelecer o equilíbrio econômico-financeiro inicial do</w:t>
      </w: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 xml:space="preserve"> contrato uma vez que está inviabilizando</w:t>
      </w:r>
      <w:r w:rsidRPr="00C010D3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 xml:space="preserve"> a execução do contrato tal como pactuado, respeitada, em qualquer caso, a repartição objetiva de risco estabelecida no contrato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.</w:t>
      </w:r>
    </w:p>
    <w:p w14:paraId="29039B9A" w14:textId="579F321F" w:rsidR="00FE09B7" w:rsidRPr="00C010D3" w:rsidRDefault="00340BAC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Ademais, </w:t>
      </w:r>
      <w:r w:rsidR="006642BA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deve-se seguir com o trâmite pertinente, e, para tanto essa procuradoria devolve ao setor. </w:t>
      </w:r>
    </w:p>
    <w:p w14:paraId="36D78030" w14:textId="5038AAF7" w:rsidR="006642BA" w:rsidRPr="00C010D3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É o parecer s.m.j.</w:t>
      </w:r>
    </w:p>
    <w:p w14:paraId="179BB8DE" w14:textId="77777777" w:rsidR="00FE09B7" w:rsidRPr="00C010D3" w:rsidRDefault="00FE09B7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14:paraId="14C477E8" w14:textId="77777777" w:rsidR="00FE09B7" w:rsidRPr="00C010D3" w:rsidRDefault="00FE09B7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14:paraId="045D6F55" w14:textId="72829B39" w:rsidR="006642BA" w:rsidRPr="00C010D3" w:rsidRDefault="006642BA" w:rsidP="00FE09B7">
      <w:pP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  Jardim do Seridó - RN, </w:t>
      </w:r>
      <w:r w:rsidR="001F2B76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03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de </w:t>
      </w:r>
      <w:r w:rsidR="001F2B76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abril</w:t>
      </w:r>
      <w:r w:rsidR="00FE09B7" w:rsidRPr="00C010D3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 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de 202</w:t>
      </w:r>
      <w:r w:rsidR="00FE09B7" w:rsidRPr="00C010D3">
        <w:rPr>
          <w:rFonts w:eastAsia="Times New Roman" w:cstheme="minorHAnsi"/>
          <w:bCs/>
          <w:color w:val="000000" w:themeColor="text1"/>
          <w:sz w:val="28"/>
          <w:szCs w:val="28"/>
        </w:rPr>
        <w:t>4</w:t>
      </w: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.</w:t>
      </w:r>
    </w:p>
    <w:p w14:paraId="18A61150" w14:textId="45D6E0AD" w:rsidR="00FE09B7" w:rsidRPr="00C010D3" w:rsidRDefault="006642BA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_</w:t>
      </w:r>
    </w:p>
    <w:p w14:paraId="44546456" w14:textId="182E8CB0" w:rsidR="00FE09B7" w:rsidRPr="00C010D3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14:paraId="53CDB87A" w14:textId="17842F22" w:rsidR="00FE09B7" w:rsidRPr="00C010D3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14:paraId="085BD920" w14:textId="001C44A0" w:rsidR="00FE09B7" w:rsidRPr="00C010D3" w:rsidRDefault="00FE09B7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cstheme="minorHAnsi"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hidden="0" allowOverlap="1" wp14:anchorId="5FC2C81A" wp14:editId="09D1D90F">
            <wp:simplePos x="0" y="0"/>
            <wp:positionH relativeFrom="column">
              <wp:posOffset>1807210</wp:posOffset>
            </wp:positionH>
            <wp:positionV relativeFrom="paragraph">
              <wp:posOffset>11430</wp:posOffset>
            </wp:positionV>
            <wp:extent cx="1952625" cy="466725"/>
            <wp:effectExtent l="0" t="0" r="0" b="0"/>
            <wp:wrapNone/>
            <wp:docPr id="6" name="image1.png" descr="Fundo preto com letras branca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Fundo preto com letras branca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84C4B5" w14:textId="162AF092" w:rsidR="006642BA" w:rsidRPr="00C010D3" w:rsidRDefault="006642BA" w:rsidP="00FE09B7">
      <w:pPr>
        <w:tabs>
          <w:tab w:val="left" w:pos="3345"/>
        </w:tabs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____________________________________</w:t>
      </w:r>
    </w:p>
    <w:p w14:paraId="737B0966" w14:textId="77777777" w:rsidR="006642BA" w:rsidRPr="00C010D3" w:rsidRDefault="006642BA" w:rsidP="00FE09B7">
      <w:pPr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color w:val="000000" w:themeColor="text1"/>
          <w:sz w:val="28"/>
          <w:szCs w:val="28"/>
        </w:rPr>
        <w:t>LUISIANE MORAIS DA FONSECA</w:t>
      </w:r>
    </w:p>
    <w:p w14:paraId="5224905B" w14:textId="77777777" w:rsidR="006642BA" w:rsidRPr="00C010D3" w:rsidRDefault="006642BA" w:rsidP="00FE09B7">
      <w:pPr>
        <w:spacing w:after="0" w:line="36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</w:rPr>
      </w:pPr>
      <w:r w:rsidRPr="00C010D3">
        <w:rPr>
          <w:rFonts w:eastAsia="Times New Roman" w:cstheme="minorHAnsi"/>
          <w:bCs/>
          <w:i/>
          <w:color w:val="000000" w:themeColor="text1"/>
          <w:sz w:val="28"/>
          <w:szCs w:val="28"/>
        </w:rPr>
        <w:t>Assessora Jurídica</w:t>
      </w:r>
    </w:p>
    <w:p w14:paraId="5BC5667C" w14:textId="77777777" w:rsidR="006642BA" w:rsidRPr="00C010D3" w:rsidRDefault="006642BA" w:rsidP="00FE09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eastAsia="Times New Roman" w:cstheme="minorHAnsi"/>
          <w:bCs/>
          <w:color w:val="000000" w:themeColor="text1"/>
          <w:sz w:val="28"/>
          <w:szCs w:val="28"/>
        </w:rPr>
      </w:pPr>
    </w:p>
    <w:p w14:paraId="20B647E1" w14:textId="77777777" w:rsidR="008B723E" w:rsidRPr="00C010D3" w:rsidRDefault="008B723E" w:rsidP="00FE09B7">
      <w:pPr>
        <w:spacing w:after="0" w:line="360" w:lineRule="auto"/>
        <w:ind w:firstLine="1134"/>
        <w:jc w:val="both"/>
        <w:rPr>
          <w:rFonts w:cstheme="minorHAnsi"/>
          <w:bCs/>
          <w:color w:val="000000" w:themeColor="text1"/>
          <w:sz w:val="28"/>
          <w:szCs w:val="28"/>
        </w:rPr>
      </w:pPr>
    </w:p>
    <w:p w14:paraId="7BA05DB4" w14:textId="77777777" w:rsidR="008B723E" w:rsidRPr="00C010D3" w:rsidRDefault="008B723E" w:rsidP="00FE09B7">
      <w:pPr>
        <w:pStyle w:val="Ttulo1"/>
        <w:spacing w:before="0" w:line="360" w:lineRule="auto"/>
        <w:ind w:firstLine="1134"/>
        <w:rPr>
          <w:rFonts w:asciiTheme="minorHAnsi" w:eastAsia="Times New Roman" w:hAnsiTheme="minorHAnsi" w:cstheme="minorHAnsi"/>
          <w:b w:val="0"/>
          <w:color w:val="000000" w:themeColor="text1"/>
          <w:sz w:val="28"/>
        </w:rPr>
      </w:pPr>
    </w:p>
    <w:p w14:paraId="3E6AE766" w14:textId="77777777" w:rsidR="008B723E" w:rsidRPr="00C010D3" w:rsidRDefault="008B723E" w:rsidP="00FE09B7">
      <w:pPr>
        <w:pStyle w:val="Ttulo1"/>
        <w:spacing w:before="0" w:line="360" w:lineRule="auto"/>
        <w:ind w:firstLine="1134"/>
        <w:rPr>
          <w:rFonts w:ascii="Calibri" w:eastAsia="Times New Roman" w:hAnsi="Calibri" w:cs="Calibri"/>
          <w:sz w:val="28"/>
        </w:rPr>
      </w:pPr>
    </w:p>
    <w:sectPr w:rsidR="008B723E" w:rsidRPr="00C010D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7277" w14:textId="77777777" w:rsidR="00A01B94" w:rsidRDefault="00A01B94" w:rsidP="00DA22C9">
      <w:pPr>
        <w:spacing w:after="0" w:line="240" w:lineRule="auto"/>
      </w:pPr>
      <w:r>
        <w:separator/>
      </w:r>
    </w:p>
  </w:endnote>
  <w:endnote w:type="continuationSeparator" w:id="0">
    <w:p w14:paraId="668F19AB" w14:textId="77777777" w:rsidR="00A01B94" w:rsidRDefault="00A01B94" w:rsidP="00DA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AC009" w14:textId="77777777" w:rsidR="006B2287" w:rsidRDefault="006B2287">
    <w:pPr>
      <w:pStyle w:val="Rodap"/>
    </w:pPr>
  </w:p>
  <w:p w14:paraId="1F7830D8" w14:textId="77777777" w:rsidR="006B2287" w:rsidRDefault="006B2287">
    <w:pPr>
      <w:pStyle w:val="Rodap"/>
    </w:pPr>
  </w:p>
  <w:p w14:paraId="6FACA700" w14:textId="77777777" w:rsidR="006B2287" w:rsidRDefault="006B2287">
    <w:pPr>
      <w:pStyle w:val="Rodap"/>
    </w:pPr>
  </w:p>
  <w:p w14:paraId="1A6E69D0" w14:textId="77777777" w:rsidR="006B2287" w:rsidRDefault="006B22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C6F0D" w14:textId="77777777" w:rsidR="00A01B94" w:rsidRDefault="00A01B94" w:rsidP="00DA22C9">
      <w:pPr>
        <w:spacing w:after="0" w:line="240" w:lineRule="auto"/>
      </w:pPr>
      <w:r>
        <w:separator/>
      </w:r>
    </w:p>
  </w:footnote>
  <w:footnote w:type="continuationSeparator" w:id="0">
    <w:p w14:paraId="35B5AC08" w14:textId="77777777" w:rsidR="00A01B94" w:rsidRDefault="00A01B94" w:rsidP="00DA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F268" w14:textId="0AC5DF1A" w:rsidR="008E2006" w:rsidRDefault="00C010D3">
    <w:pPr>
      <w:pStyle w:val="Cabealho"/>
      <w:rPr>
        <w:noProof/>
      </w:rPr>
    </w:pPr>
    <w:r w:rsidRPr="00AC5622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A117D86" wp14:editId="62D5E05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405" cy="10767685"/>
          <wp:effectExtent l="0" t="0" r="444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188BE" w14:textId="77777777" w:rsidR="008E2006" w:rsidRDefault="008E2006">
    <w:pPr>
      <w:pStyle w:val="Cabealho"/>
      <w:rPr>
        <w:noProof/>
      </w:rPr>
    </w:pPr>
  </w:p>
  <w:p w14:paraId="4A32D105" w14:textId="77777777" w:rsidR="008E2006" w:rsidRDefault="008E2006">
    <w:pPr>
      <w:pStyle w:val="Cabealho"/>
      <w:rPr>
        <w:noProof/>
      </w:rPr>
    </w:pPr>
  </w:p>
  <w:p w14:paraId="28FCCCD6" w14:textId="0E297929" w:rsidR="008E2006" w:rsidRDefault="008E2006" w:rsidP="006642BA">
    <w:pPr>
      <w:pStyle w:val="Cabealho"/>
      <w:tabs>
        <w:tab w:val="clear" w:pos="4252"/>
        <w:tab w:val="left" w:pos="6276"/>
      </w:tabs>
      <w:rPr>
        <w:noProof/>
      </w:rPr>
    </w:pPr>
    <w:r>
      <w:rPr>
        <w:noProof/>
      </w:rPr>
      <w:tab/>
    </w:r>
    <w:r w:rsidR="006642BA">
      <w:rPr>
        <w:noProof/>
      </w:rPr>
      <w:tab/>
    </w:r>
  </w:p>
  <w:p w14:paraId="253BCCAE" w14:textId="77777777" w:rsidR="008E2006" w:rsidRDefault="008E2006">
    <w:pPr>
      <w:pStyle w:val="Cabealho"/>
      <w:rPr>
        <w:noProof/>
      </w:rPr>
    </w:pPr>
  </w:p>
  <w:p w14:paraId="535ABBA1" w14:textId="77777777" w:rsidR="008E2006" w:rsidRDefault="008E2006">
    <w:pPr>
      <w:pStyle w:val="Cabealho"/>
      <w:rPr>
        <w:noProof/>
      </w:rPr>
    </w:pPr>
  </w:p>
  <w:p w14:paraId="2F4D9877" w14:textId="133E9CA5" w:rsidR="008B723E" w:rsidRDefault="006642BA" w:rsidP="00C010D3">
    <w:pPr>
      <w:pStyle w:val="Cabealho"/>
      <w:tabs>
        <w:tab w:val="clear" w:pos="4252"/>
        <w:tab w:val="clear" w:pos="8504"/>
        <w:tab w:val="left" w:pos="5616"/>
      </w:tabs>
      <w:rPr>
        <w:noProof/>
      </w:rPr>
    </w:pPr>
    <w:r>
      <w:rPr>
        <w:noProof/>
      </w:rPr>
      <w:tab/>
    </w:r>
  </w:p>
  <w:p w14:paraId="0C656C62" w14:textId="77777777" w:rsidR="006642BA" w:rsidRDefault="006642BA">
    <w:pPr>
      <w:pStyle w:val="Cabealho"/>
      <w:rPr>
        <w:noProof/>
      </w:rPr>
    </w:pPr>
  </w:p>
  <w:p w14:paraId="06BEC29E" w14:textId="0F495684" w:rsidR="00DA22C9" w:rsidRDefault="00DA22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5446"/>
    <w:multiLevelType w:val="multilevel"/>
    <w:tmpl w:val="B42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0166"/>
    <w:multiLevelType w:val="multilevel"/>
    <w:tmpl w:val="B88C67D2"/>
    <w:lvl w:ilvl="0">
      <w:start w:val="1"/>
      <w:numFmt w:val="decimal"/>
      <w:pStyle w:val="Nivel1"/>
      <w:lvlText w:val="%1."/>
      <w:lvlJc w:val="left"/>
      <w:pPr>
        <w:ind w:left="218" w:hanging="360"/>
      </w:pPr>
    </w:lvl>
    <w:lvl w:ilvl="1">
      <w:start w:val="1"/>
      <w:numFmt w:val="decimal"/>
      <w:lvlText w:val="%1.%2"/>
      <w:lvlJc w:val="left"/>
      <w:pPr>
        <w:ind w:left="713" w:hanging="495"/>
      </w:pPr>
    </w:lvl>
    <w:lvl w:ilvl="2">
      <w:start w:val="1"/>
      <w:numFmt w:val="decimal"/>
      <w:lvlText w:val="%1.%2.%3"/>
      <w:lvlJc w:val="left"/>
      <w:pPr>
        <w:ind w:left="1298" w:hanging="719"/>
      </w:pPr>
    </w:lvl>
    <w:lvl w:ilvl="3">
      <w:start w:val="1"/>
      <w:numFmt w:val="decimal"/>
      <w:lvlText w:val="%1.%2.%3.%4"/>
      <w:lvlJc w:val="left"/>
      <w:pPr>
        <w:ind w:left="1658" w:hanging="719"/>
      </w:pPr>
    </w:lvl>
    <w:lvl w:ilvl="4">
      <w:start w:val="1"/>
      <w:numFmt w:val="decimal"/>
      <w:lvlText w:val="%1.%2.%3.%4.%5"/>
      <w:lvlJc w:val="left"/>
      <w:pPr>
        <w:ind w:left="2378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458" w:hanging="1440"/>
      </w:pPr>
    </w:lvl>
    <w:lvl w:ilvl="7">
      <w:start w:val="1"/>
      <w:numFmt w:val="decimal"/>
      <w:lvlText w:val="%1.%2.%3.%4.%5.%6.%7.%8"/>
      <w:lvlJc w:val="left"/>
      <w:pPr>
        <w:ind w:left="3818" w:hanging="1440"/>
      </w:pPr>
    </w:lvl>
    <w:lvl w:ilvl="8">
      <w:start w:val="1"/>
      <w:numFmt w:val="decimal"/>
      <w:lvlText w:val="%1.%2.%3.%4.%5.%6.%7.%8.%9"/>
      <w:lvlJc w:val="left"/>
      <w:pPr>
        <w:ind w:left="4538" w:hanging="1800"/>
      </w:pPr>
    </w:lvl>
  </w:abstractNum>
  <w:num w:numId="1" w16cid:durableId="756756108">
    <w:abstractNumId w:val="2"/>
  </w:num>
  <w:num w:numId="2" w16cid:durableId="2318380">
    <w:abstractNumId w:val="0"/>
  </w:num>
  <w:num w:numId="3" w16cid:durableId="744686464">
    <w:abstractNumId w:val="0"/>
    <w:lvlOverride w:ilvl="0">
      <w:startOverride w:val="1"/>
    </w:lvlOverride>
  </w:num>
  <w:num w:numId="4" w16cid:durableId="1071732349">
    <w:abstractNumId w:val="3"/>
  </w:num>
  <w:num w:numId="5" w16cid:durableId="41937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9"/>
    <w:rsid w:val="00082B4A"/>
    <w:rsid w:val="000E43E3"/>
    <w:rsid w:val="0012576A"/>
    <w:rsid w:val="001E6BA3"/>
    <w:rsid w:val="001F2B76"/>
    <w:rsid w:val="002542C8"/>
    <w:rsid w:val="002570F5"/>
    <w:rsid w:val="002D0304"/>
    <w:rsid w:val="002E6589"/>
    <w:rsid w:val="00340BAC"/>
    <w:rsid w:val="00350DEA"/>
    <w:rsid w:val="00354B99"/>
    <w:rsid w:val="00370057"/>
    <w:rsid w:val="00391EFA"/>
    <w:rsid w:val="00406A62"/>
    <w:rsid w:val="00411B65"/>
    <w:rsid w:val="004468F7"/>
    <w:rsid w:val="00452E71"/>
    <w:rsid w:val="004939EC"/>
    <w:rsid w:val="004C060A"/>
    <w:rsid w:val="005272F4"/>
    <w:rsid w:val="0053395A"/>
    <w:rsid w:val="0053467B"/>
    <w:rsid w:val="00534C08"/>
    <w:rsid w:val="005C1119"/>
    <w:rsid w:val="005F7BD9"/>
    <w:rsid w:val="006272F5"/>
    <w:rsid w:val="006642BA"/>
    <w:rsid w:val="006832FE"/>
    <w:rsid w:val="006B2287"/>
    <w:rsid w:val="006B232D"/>
    <w:rsid w:val="0074015A"/>
    <w:rsid w:val="00744549"/>
    <w:rsid w:val="00763162"/>
    <w:rsid w:val="00784BA1"/>
    <w:rsid w:val="007F7251"/>
    <w:rsid w:val="00811DEA"/>
    <w:rsid w:val="008326AA"/>
    <w:rsid w:val="00840D13"/>
    <w:rsid w:val="00843186"/>
    <w:rsid w:val="008759C3"/>
    <w:rsid w:val="008B723E"/>
    <w:rsid w:val="008E2006"/>
    <w:rsid w:val="008F1878"/>
    <w:rsid w:val="009221D1"/>
    <w:rsid w:val="009C13C8"/>
    <w:rsid w:val="00A01B94"/>
    <w:rsid w:val="00AB2E6E"/>
    <w:rsid w:val="00AC5622"/>
    <w:rsid w:val="00B02E81"/>
    <w:rsid w:val="00B666C8"/>
    <w:rsid w:val="00C010D3"/>
    <w:rsid w:val="00C05B6C"/>
    <w:rsid w:val="00C360AD"/>
    <w:rsid w:val="00C57484"/>
    <w:rsid w:val="00C81583"/>
    <w:rsid w:val="00CD0989"/>
    <w:rsid w:val="00CE1D9F"/>
    <w:rsid w:val="00D05316"/>
    <w:rsid w:val="00D21A23"/>
    <w:rsid w:val="00D4387F"/>
    <w:rsid w:val="00DA22C9"/>
    <w:rsid w:val="00DF42B2"/>
    <w:rsid w:val="00E02901"/>
    <w:rsid w:val="00F655DE"/>
    <w:rsid w:val="00F66AA0"/>
    <w:rsid w:val="00F70F09"/>
    <w:rsid w:val="00F85015"/>
    <w:rsid w:val="00FC3338"/>
    <w:rsid w:val="00FE09B7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B404"/>
  <w15:chartTrackingRefBased/>
  <w15:docId w15:val="{83F9A1DF-A776-447F-B82B-EF9282B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C9"/>
  </w:style>
  <w:style w:type="paragraph" w:styleId="Ttulo1">
    <w:name w:val="heading 1"/>
    <w:basedOn w:val="PargrafoParecer"/>
    <w:next w:val="PargrafoParecer"/>
    <w:link w:val="Ttulo1Char"/>
    <w:uiPriority w:val="9"/>
    <w:qFormat/>
    <w:rsid w:val="008E2006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8E2006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8E2006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8E2006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8E2006"/>
    <w:pPr>
      <w:ind w:left="1843"/>
      <w:outlineLvl w:val="4"/>
    </w:pPr>
    <w:rPr>
      <w:color w:val="0000F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2C9"/>
  </w:style>
  <w:style w:type="paragraph" w:styleId="Rodap">
    <w:name w:val="footer"/>
    <w:basedOn w:val="Normal"/>
    <w:link w:val="RodapChar"/>
    <w:uiPriority w:val="99"/>
    <w:unhideWhenUsed/>
    <w:rsid w:val="00DA2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2C9"/>
  </w:style>
  <w:style w:type="paragraph" w:styleId="PargrafodaLista">
    <w:name w:val="List Paragraph"/>
    <w:basedOn w:val="Normal"/>
    <w:uiPriority w:val="34"/>
    <w:qFormat/>
    <w:rsid w:val="0074015A"/>
    <w:pPr>
      <w:ind w:left="720"/>
      <w:contextualSpacing/>
    </w:pPr>
  </w:style>
  <w:style w:type="paragraph" w:customStyle="1" w:styleId="Default">
    <w:name w:val="Default"/>
    <w:rsid w:val="00527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5272F4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5272F4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E2006"/>
    <w:rPr>
      <w:rFonts w:ascii="Times New Roman" w:eastAsiaTheme="majorEastAsia" w:hAnsi="Times New Roman" w:cstheme="majorBidi"/>
      <w:b/>
      <w:bCs/>
      <w:caps/>
      <w:sz w:val="24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8E2006"/>
    <w:rPr>
      <w:rFonts w:ascii="Times New Roman" w:eastAsiaTheme="majorEastAsia" w:hAnsi="Times New Roman" w:cstheme="majorBidi"/>
      <w:b/>
      <w:bCs/>
      <w:sz w:val="24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8E2006"/>
    <w:rPr>
      <w:rFonts w:ascii="Times New Roman" w:eastAsiaTheme="majorEastAsia" w:hAnsi="Times New Roman" w:cstheme="majorBidi"/>
      <w:bCs/>
      <w:sz w:val="20"/>
      <w:szCs w:val="20"/>
      <w:u w:val="single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8E2006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8E2006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paragraph" w:customStyle="1" w:styleId="PargrafoParecer">
    <w:name w:val="Parágrafo_Parecer"/>
    <w:basedOn w:val="PargrafodaLista"/>
    <w:link w:val="PargrafoParecerChar"/>
    <w:qFormat/>
    <w:rsid w:val="008E2006"/>
    <w:pPr>
      <w:numPr>
        <w:numId w:val="1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8E2006"/>
    <w:pPr>
      <w:numPr>
        <w:numId w:val="2"/>
      </w:numPr>
      <w:ind w:left="1418" w:firstLine="0"/>
    </w:pPr>
  </w:style>
  <w:style w:type="character" w:customStyle="1" w:styleId="PargrafoParecerChar">
    <w:name w:val="Parágrafo_Parecer Char"/>
    <w:basedOn w:val="Fontepargpadro"/>
    <w:link w:val="PargrafoParecer"/>
    <w:rsid w:val="008E20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aAGUChar">
    <w:name w:val="Lista AGU Char"/>
    <w:basedOn w:val="Fontepargpadro"/>
    <w:link w:val="ListaAGU"/>
    <w:rsid w:val="008E2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8E2006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8E2006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8E2006"/>
    <w:rPr>
      <w:color w:val="0563C1" w:themeColor="hyperlink"/>
      <w:u w:val="single"/>
    </w:rPr>
  </w:style>
  <w:style w:type="character" w:customStyle="1" w:styleId="cf01">
    <w:name w:val="cf01"/>
    <w:basedOn w:val="Fontepargpadro"/>
    <w:rsid w:val="008E200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8E2006"/>
  </w:style>
  <w:style w:type="character" w:customStyle="1" w:styleId="eop">
    <w:name w:val="eop"/>
    <w:basedOn w:val="Fontepargpadro"/>
    <w:rsid w:val="008E2006"/>
  </w:style>
  <w:style w:type="paragraph" w:customStyle="1" w:styleId="Nivel1">
    <w:name w:val="Nivel1"/>
    <w:basedOn w:val="Ttulo1"/>
    <w:next w:val="Normal"/>
    <w:qFormat/>
    <w:rsid w:val="008B723E"/>
    <w:pPr>
      <w:numPr>
        <w:numId w:val="4"/>
      </w:numPr>
      <w:tabs>
        <w:tab w:val="clear" w:pos="1418"/>
        <w:tab w:val="num" w:pos="360"/>
      </w:tabs>
      <w:suppressAutoHyphens w:val="0"/>
      <w:spacing w:after="120" w:line="276" w:lineRule="auto"/>
      <w:ind w:left="0" w:firstLine="0"/>
      <w:jc w:val="both"/>
    </w:pPr>
    <w:rPr>
      <w:rFonts w:ascii="Arial" w:eastAsia="Times New Roman" w:hAnsi="Arial" w:cs="Arial"/>
      <w:bCs w:val="0"/>
      <w:caps w:val="0"/>
      <w:color w:val="000000"/>
      <w:sz w:val="32"/>
      <w:szCs w:val="32"/>
      <w:lang w:eastAsia="pt-BR"/>
    </w:rPr>
  </w:style>
  <w:style w:type="character" w:customStyle="1" w:styleId="fontstyle01">
    <w:name w:val="fontstyle01"/>
    <w:basedOn w:val="Fontepargpadro"/>
    <w:rsid w:val="006642B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360AD"/>
    <w:rPr>
      <w:i/>
      <w:iCs/>
    </w:rPr>
  </w:style>
  <w:style w:type="character" w:styleId="Forte">
    <w:name w:val="Strong"/>
    <w:basedOn w:val="Fontepargpadro"/>
    <w:uiPriority w:val="22"/>
    <w:qFormat/>
    <w:rsid w:val="00340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8CAE-3A92-4091-8738-F905EFE2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8</Pages>
  <Words>1261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 CMJS</dc:creator>
  <cp:keywords/>
  <dc:description/>
  <cp:lastModifiedBy>PROCURADORIA CMJS</cp:lastModifiedBy>
  <cp:revision>17</cp:revision>
  <dcterms:created xsi:type="dcterms:W3CDTF">2024-04-02T11:28:00Z</dcterms:created>
  <dcterms:modified xsi:type="dcterms:W3CDTF">2024-04-03T12:00:00Z</dcterms:modified>
</cp:coreProperties>
</file>