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3328" w14:textId="77777777" w:rsidR="00D35CBE" w:rsidRPr="00D108CE" w:rsidRDefault="00D35CBE">
      <w:pPr>
        <w:rPr>
          <w:rFonts w:ascii="Cambria" w:hAnsi="Cambria"/>
        </w:rPr>
      </w:pPr>
    </w:p>
    <w:p w14:paraId="7EF64D9C" w14:textId="77777777" w:rsidR="00D35CBE" w:rsidRPr="00D108CE" w:rsidRDefault="00D35CBE">
      <w:pPr>
        <w:rPr>
          <w:rFonts w:ascii="Cambria" w:hAnsi="Cambria"/>
        </w:rPr>
      </w:pPr>
    </w:p>
    <w:p w14:paraId="4A0C4FD5" w14:textId="77777777" w:rsidR="00D35CBE" w:rsidRPr="00D108CE" w:rsidRDefault="00D35CBE" w:rsidP="00D35CBE">
      <w:pPr>
        <w:jc w:val="center"/>
        <w:rPr>
          <w:rFonts w:ascii="Cambria" w:hAnsi="Cambria" w:cs="Arial"/>
          <w:b/>
          <w:bCs/>
          <w:sz w:val="24"/>
          <w:szCs w:val="24"/>
        </w:rPr>
      </w:pPr>
    </w:p>
    <w:p w14:paraId="555F8973" w14:textId="77777777" w:rsidR="00D35CBE" w:rsidRPr="00D108CE" w:rsidRDefault="00D35CBE" w:rsidP="00D35CBE">
      <w:pPr>
        <w:jc w:val="center"/>
        <w:rPr>
          <w:rFonts w:ascii="Cambria" w:hAnsi="Cambria" w:cs="Arial"/>
          <w:b/>
          <w:bCs/>
          <w:sz w:val="24"/>
          <w:szCs w:val="24"/>
        </w:rPr>
      </w:pPr>
      <w:r w:rsidRPr="00D108CE">
        <w:rPr>
          <w:rFonts w:ascii="Cambria" w:hAnsi="Cambria" w:cs="Arial"/>
          <w:b/>
          <w:bCs/>
          <w:sz w:val="24"/>
          <w:szCs w:val="24"/>
        </w:rPr>
        <w:t>PARECER JURÍDICO</w:t>
      </w:r>
    </w:p>
    <w:p w14:paraId="4D28F045" w14:textId="77777777" w:rsidR="00D35CBE" w:rsidRPr="00D108CE" w:rsidRDefault="00D35CBE" w:rsidP="00D35CBE">
      <w:pPr>
        <w:jc w:val="both"/>
        <w:rPr>
          <w:rFonts w:ascii="Cambria" w:hAnsi="Cambria" w:cs="Arial"/>
          <w:sz w:val="24"/>
          <w:szCs w:val="24"/>
        </w:rPr>
      </w:pPr>
    </w:p>
    <w:p w14:paraId="15B3D9A9" w14:textId="3CDD4074" w:rsidR="00FD0ED1" w:rsidRPr="00D108CE" w:rsidRDefault="00D35CBE" w:rsidP="00FD0ED1">
      <w:pPr>
        <w:pStyle w:val="Default"/>
        <w:rPr>
          <w:rFonts w:ascii="Cambria" w:hAnsi="Cambria" w:cs="Arial"/>
        </w:rPr>
      </w:pPr>
      <w:r w:rsidRPr="00D108CE">
        <w:rPr>
          <w:rFonts w:ascii="Cambria" w:hAnsi="Cambria" w:cs="Arial"/>
          <w:b/>
          <w:bCs/>
        </w:rPr>
        <w:t xml:space="preserve">Processo nº </w:t>
      </w:r>
      <w:r w:rsidR="00FD0ED1" w:rsidRPr="00D108CE">
        <w:rPr>
          <w:rFonts w:ascii="Cambria" w:hAnsi="Cambria" w:cs="Arial"/>
        </w:rPr>
        <w:t xml:space="preserve">925.004/2023 </w:t>
      </w:r>
    </w:p>
    <w:p w14:paraId="43AE6355" w14:textId="7A781149" w:rsidR="00D35CBE" w:rsidRPr="00D108CE" w:rsidRDefault="00D35CBE" w:rsidP="00FD0ED1">
      <w:pPr>
        <w:pStyle w:val="Default"/>
        <w:rPr>
          <w:rFonts w:ascii="Cambria" w:hAnsi="Cambria" w:cs="Arial"/>
        </w:rPr>
      </w:pPr>
      <w:r w:rsidRPr="00D108CE">
        <w:rPr>
          <w:rFonts w:ascii="Cambria" w:hAnsi="Cambria" w:cs="Arial"/>
          <w:b/>
          <w:bCs/>
        </w:rPr>
        <w:t>Inexigibilidade nº</w:t>
      </w:r>
      <w:r w:rsidRPr="00D108CE">
        <w:rPr>
          <w:rFonts w:ascii="Cambria" w:hAnsi="Cambria" w:cs="Arial"/>
        </w:rPr>
        <w:t xml:space="preserve"> </w:t>
      </w:r>
      <w:r w:rsidR="00BC6B0C">
        <w:rPr>
          <w:rFonts w:ascii="Cambria" w:hAnsi="Cambria" w:cs="Arial"/>
        </w:rPr>
        <w:t>010</w:t>
      </w:r>
      <w:r w:rsidRPr="00D108CE">
        <w:rPr>
          <w:rFonts w:ascii="Cambria" w:hAnsi="Cambria" w:cs="Arial"/>
        </w:rPr>
        <w:t>/2023.</w:t>
      </w:r>
    </w:p>
    <w:p w14:paraId="14257B4A" w14:textId="77777777" w:rsidR="00D35CBE" w:rsidRPr="00D108CE" w:rsidRDefault="00D35CBE" w:rsidP="00D35CBE">
      <w:pPr>
        <w:spacing w:after="0"/>
        <w:jc w:val="both"/>
        <w:rPr>
          <w:rFonts w:ascii="Cambria" w:hAnsi="Cambria" w:cs="Arial"/>
          <w:sz w:val="24"/>
          <w:szCs w:val="24"/>
        </w:rPr>
      </w:pPr>
      <w:r w:rsidRPr="00D108CE">
        <w:rPr>
          <w:rFonts w:ascii="Cambria" w:hAnsi="Cambria" w:cs="Arial"/>
          <w:b/>
          <w:bCs/>
          <w:sz w:val="24"/>
          <w:szCs w:val="24"/>
        </w:rPr>
        <w:t>Interessado:</w:t>
      </w:r>
      <w:r w:rsidRPr="00D108CE">
        <w:rPr>
          <w:rFonts w:ascii="Cambria" w:hAnsi="Cambria" w:cs="Arial"/>
          <w:sz w:val="24"/>
          <w:szCs w:val="24"/>
        </w:rPr>
        <w:t xml:space="preserve"> Câmara Municipal de Jardim do Seridó</w:t>
      </w:r>
    </w:p>
    <w:p w14:paraId="3D8FE93D" w14:textId="3E9DB1FD" w:rsidR="00D35CBE" w:rsidRPr="00D108CE" w:rsidRDefault="00D35CBE" w:rsidP="00D35CBE">
      <w:pPr>
        <w:spacing w:after="0"/>
        <w:jc w:val="both"/>
        <w:rPr>
          <w:rStyle w:val="fontstyle01"/>
          <w:rFonts w:ascii="Cambria" w:hAnsi="Cambria" w:cs="Arial"/>
          <w:sz w:val="24"/>
          <w:szCs w:val="24"/>
        </w:rPr>
      </w:pPr>
      <w:r w:rsidRPr="00D108CE">
        <w:rPr>
          <w:rFonts w:ascii="Cambria" w:hAnsi="Cambria" w:cs="Arial"/>
          <w:b/>
          <w:bCs/>
          <w:sz w:val="24"/>
          <w:szCs w:val="24"/>
        </w:rPr>
        <w:t>Assunto:</w:t>
      </w:r>
      <w:r w:rsidRPr="00D108CE">
        <w:rPr>
          <w:rFonts w:ascii="Cambria" w:hAnsi="Cambria" w:cs="Arial"/>
          <w:sz w:val="24"/>
          <w:szCs w:val="24"/>
        </w:rPr>
        <w:t xml:space="preserve"> </w:t>
      </w:r>
      <w:r w:rsidR="00FD0ED1" w:rsidRPr="00D108CE">
        <w:rPr>
          <w:rFonts w:ascii="Cambria" w:hAnsi="Cambria" w:cs="Arial"/>
          <w:sz w:val="24"/>
          <w:szCs w:val="24"/>
        </w:rPr>
        <w:t xml:space="preserve">INSCRIÇÃO </w:t>
      </w:r>
      <w:r w:rsidR="00FD0ED1" w:rsidRPr="00D108CE">
        <w:rPr>
          <w:rStyle w:val="fontstyle01"/>
          <w:rFonts w:ascii="Cambria" w:hAnsi="Cambria" w:cs="Arial"/>
          <w:sz w:val="24"/>
          <w:szCs w:val="24"/>
        </w:rPr>
        <w:t>DE SERVIDORES DA CÂMARA MUNICIPAL DE JARDIM DO SERIDÓ/RN, NO CURSO “GESTÃO OLHO VIVO”, QUE SERÁ REALIZADO NA CIDADE DE MARTINS/RN, NO PERÍODO DE 18 A 20 DE OUTUBRO DE 2023.</w:t>
      </w:r>
    </w:p>
    <w:p w14:paraId="2427A311" w14:textId="77777777" w:rsidR="00FD0ED1" w:rsidRPr="00D108CE" w:rsidRDefault="00FD0ED1" w:rsidP="00D35CBE">
      <w:pPr>
        <w:spacing w:after="0"/>
        <w:jc w:val="both"/>
        <w:rPr>
          <w:rFonts w:ascii="Cambria" w:hAnsi="Cambria" w:cs="Arial"/>
          <w:sz w:val="24"/>
          <w:szCs w:val="24"/>
        </w:rPr>
      </w:pPr>
    </w:p>
    <w:p w14:paraId="2375F504" w14:textId="6068E98B" w:rsidR="00D35CBE" w:rsidRPr="00D108CE" w:rsidRDefault="00D35CBE" w:rsidP="00FF017B">
      <w:pPr>
        <w:autoSpaceDE w:val="0"/>
        <w:autoSpaceDN w:val="0"/>
        <w:adjustRightInd w:val="0"/>
        <w:spacing w:after="0" w:line="240" w:lineRule="auto"/>
        <w:ind w:left="3540"/>
        <w:jc w:val="both"/>
        <w:rPr>
          <w:rFonts w:ascii="Cambria" w:hAnsi="Cambria" w:cs="TimesNewRomanPS-BoldMT"/>
          <w:sz w:val="24"/>
          <w:szCs w:val="24"/>
          <w14:ligatures w14:val="standardContextual"/>
        </w:rPr>
      </w:pPr>
      <w:r w:rsidRPr="00D108CE">
        <w:rPr>
          <w:rFonts w:ascii="Cambria" w:hAnsi="Cambria" w:cs="Arial"/>
          <w:b/>
          <w:bCs/>
          <w:sz w:val="24"/>
          <w:szCs w:val="24"/>
        </w:rPr>
        <w:t>Ementa:</w:t>
      </w:r>
      <w:r w:rsidRPr="00D108CE">
        <w:rPr>
          <w:rFonts w:ascii="Cambria" w:hAnsi="Cambria" w:cs="Arial"/>
          <w:sz w:val="24"/>
          <w:szCs w:val="24"/>
        </w:rPr>
        <w:t xml:space="preserve"> </w:t>
      </w:r>
      <w:r w:rsidRPr="00D108CE">
        <w:rPr>
          <w:rFonts w:ascii="Cambria" w:hAnsi="Cambria" w:cs="Arial"/>
          <w:i/>
          <w:iCs/>
          <w:sz w:val="24"/>
          <w:szCs w:val="24"/>
        </w:rPr>
        <w:t>Constitucional. Administrativo. Licitação. Realização de inscrição em curso. Contratação Direta. Inexigibilidade. Possibilidade Legal. Inteligência d</w:t>
      </w:r>
      <w:r w:rsidR="00FF017B" w:rsidRPr="00D108CE">
        <w:rPr>
          <w:rFonts w:ascii="Cambria" w:hAnsi="Cambria" w:cs="Arial"/>
          <w:i/>
          <w:iCs/>
          <w:sz w:val="24"/>
          <w:szCs w:val="24"/>
        </w:rPr>
        <w:t>a</w:t>
      </w:r>
      <w:r w:rsidRPr="00D108CE">
        <w:rPr>
          <w:rFonts w:ascii="Cambria" w:hAnsi="Cambria" w:cs="Arial"/>
          <w:i/>
          <w:iCs/>
          <w:sz w:val="24"/>
          <w:szCs w:val="24"/>
        </w:rPr>
        <w:t xml:space="preserve"> </w:t>
      </w:r>
      <w:r w:rsidR="00FF017B" w:rsidRPr="00D108CE">
        <w:rPr>
          <w:rFonts w:ascii="Cambria" w:hAnsi="Cambria" w:cs="TimesNewRomanPS-BoldMT"/>
          <w:sz w:val="24"/>
          <w:szCs w:val="24"/>
          <w14:ligatures w14:val="standardContextual"/>
        </w:rPr>
        <w:t>alínea “f” do inciso III do art. 74 da Lei n. 14.133/2021.</w:t>
      </w:r>
    </w:p>
    <w:p w14:paraId="76035F97" w14:textId="77777777" w:rsidR="00FF017B" w:rsidRPr="00D108CE" w:rsidRDefault="00FF017B" w:rsidP="00FF017B">
      <w:pPr>
        <w:autoSpaceDE w:val="0"/>
        <w:autoSpaceDN w:val="0"/>
        <w:adjustRightInd w:val="0"/>
        <w:spacing w:after="0" w:line="240" w:lineRule="auto"/>
        <w:ind w:left="3540"/>
        <w:jc w:val="both"/>
        <w:rPr>
          <w:rFonts w:ascii="Cambria" w:hAnsi="Cambria" w:cs="Arial"/>
          <w:sz w:val="24"/>
          <w:szCs w:val="24"/>
        </w:rPr>
      </w:pPr>
    </w:p>
    <w:p w14:paraId="4498A8B0" w14:textId="77777777" w:rsidR="00FF017B" w:rsidRPr="00D108CE" w:rsidRDefault="00FF017B" w:rsidP="00FF017B">
      <w:pPr>
        <w:autoSpaceDE w:val="0"/>
        <w:autoSpaceDN w:val="0"/>
        <w:adjustRightInd w:val="0"/>
        <w:spacing w:after="0" w:line="240" w:lineRule="auto"/>
        <w:ind w:left="3540"/>
        <w:jc w:val="both"/>
        <w:rPr>
          <w:rFonts w:ascii="Cambria" w:hAnsi="Cambria" w:cs="Arial"/>
          <w:sz w:val="24"/>
          <w:szCs w:val="24"/>
        </w:rPr>
      </w:pPr>
    </w:p>
    <w:p w14:paraId="771C6065" w14:textId="16AAFC74" w:rsidR="00FD0ED1" w:rsidRPr="00D108CE" w:rsidRDefault="00FD0ED1" w:rsidP="00FD0ED1">
      <w:pPr>
        <w:pStyle w:val="PargrafodaLista"/>
        <w:numPr>
          <w:ilvl w:val="0"/>
          <w:numId w:val="1"/>
        </w:numPr>
        <w:jc w:val="both"/>
        <w:rPr>
          <w:rFonts w:ascii="Cambria" w:hAnsi="Cambria"/>
          <w:b/>
          <w:bCs/>
          <w:sz w:val="24"/>
          <w:szCs w:val="24"/>
        </w:rPr>
      </w:pPr>
      <w:r w:rsidRPr="00D108CE">
        <w:rPr>
          <w:rFonts w:ascii="Cambria" w:hAnsi="Cambria"/>
          <w:b/>
          <w:bCs/>
          <w:sz w:val="24"/>
          <w:szCs w:val="24"/>
        </w:rPr>
        <w:t xml:space="preserve">Relatório </w:t>
      </w:r>
    </w:p>
    <w:p w14:paraId="30126001" w14:textId="77777777" w:rsidR="00FF017B" w:rsidRPr="00D108CE" w:rsidRDefault="00FF017B" w:rsidP="00FD0ED1">
      <w:pPr>
        <w:pStyle w:val="PargrafodaLista"/>
        <w:ind w:left="0" w:firstLine="1418"/>
        <w:jc w:val="both"/>
        <w:rPr>
          <w:rFonts w:ascii="Cambria" w:hAnsi="Cambria"/>
          <w:sz w:val="24"/>
          <w:szCs w:val="24"/>
        </w:rPr>
      </w:pPr>
    </w:p>
    <w:p w14:paraId="5DBAA8C1" w14:textId="2F8C2FCC" w:rsidR="00FD0ED1" w:rsidRPr="00D108CE" w:rsidRDefault="00FD0ED1" w:rsidP="00FD0ED1">
      <w:pPr>
        <w:pStyle w:val="PargrafodaLista"/>
        <w:ind w:left="0" w:firstLine="1418"/>
        <w:jc w:val="both"/>
        <w:rPr>
          <w:rFonts w:ascii="Cambria" w:hAnsi="Cambria"/>
          <w:sz w:val="24"/>
          <w:szCs w:val="24"/>
        </w:rPr>
      </w:pPr>
      <w:r w:rsidRPr="00D108CE">
        <w:rPr>
          <w:rFonts w:ascii="Cambria" w:hAnsi="Cambria"/>
          <w:sz w:val="24"/>
          <w:szCs w:val="24"/>
        </w:rPr>
        <w:t xml:space="preserve">Trata-se de requerimento formulado pelos servidores, </w:t>
      </w:r>
      <w:proofErr w:type="spellStart"/>
      <w:r w:rsidRPr="00D108CE">
        <w:rPr>
          <w:rFonts w:ascii="Cambria" w:hAnsi="Cambria"/>
          <w:sz w:val="24"/>
          <w:szCs w:val="24"/>
        </w:rPr>
        <w:t>Luisiane</w:t>
      </w:r>
      <w:proofErr w:type="spellEnd"/>
      <w:r w:rsidRPr="00D108CE">
        <w:rPr>
          <w:rFonts w:ascii="Cambria" w:hAnsi="Cambria"/>
          <w:sz w:val="24"/>
          <w:szCs w:val="24"/>
        </w:rPr>
        <w:t xml:space="preserve"> Morais da Fonseca e Ruan Pablo Medeiros Dantas para participação no Curso "Gestão Olho Vivo", a ser realizado no período de 18/10 a 20/10/2023, em Martins-RN. </w:t>
      </w:r>
    </w:p>
    <w:p w14:paraId="600D70FE" w14:textId="77777777" w:rsidR="00544C00" w:rsidRPr="00D108CE" w:rsidRDefault="00FD0ED1" w:rsidP="00FD0ED1">
      <w:pPr>
        <w:pStyle w:val="PargrafodaLista"/>
        <w:ind w:left="0" w:firstLine="1418"/>
        <w:jc w:val="both"/>
        <w:rPr>
          <w:rFonts w:ascii="Cambria" w:hAnsi="Cambria"/>
          <w:sz w:val="24"/>
          <w:szCs w:val="24"/>
        </w:rPr>
      </w:pPr>
      <w:r w:rsidRPr="00D108CE">
        <w:rPr>
          <w:rFonts w:ascii="Cambria" w:hAnsi="Cambria"/>
          <w:sz w:val="24"/>
          <w:szCs w:val="24"/>
        </w:rPr>
        <w:t xml:space="preserve">Informa-se que o evento será presencial, no valor individual de R$ </w:t>
      </w:r>
      <w:r w:rsidR="00544C00" w:rsidRPr="00D108CE">
        <w:rPr>
          <w:rFonts w:ascii="Cambria" w:hAnsi="Cambria"/>
          <w:sz w:val="24"/>
          <w:szCs w:val="24"/>
        </w:rPr>
        <w:t>1.518,00 (hum mil, quinhentos e dezoito reais)</w:t>
      </w:r>
      <w:r w:rsidRPr="00D108CE">
        <w:rPr>
          <w:rFonts w:ascii="Cambria" w:hAnsi="Cambria"/>
          <w:sz w:val="24"/>
          <w:szCs w:val="24"/>
        </w:rPr>
        <w:t xml:space="preserve">, e terá carga horária de 25 horas-aula, conforme dispõe o folder com as informações do evento. </w:t>
      </w:r>
    </w:p>
    <w:p w14:paraId="29FB0812" w14:textId="0D82BC57" w:rsidR="00FD0ED1" w:rsidRPr="00D108CE" w:rsidRDefault="00FD0ED1" w:rsidP="00FD0ED1">
      <w:pPr>
        <w:pStyle w:val="PargrafodaLista"/>
        <w:ind w:left="0" w:firstLine="1418"/>
        <w:jc w:val="both"/>
        <w:rPr>
          <w:rFonts w:ascii="Cambria" w:hAnsi="Cambria"/>
          <w:sz w:val="24"/>
          <w:szCs w:val="24"/>
        </w:rPr>
      </w:pPr>
      <w:r w:rsidRPr="00D108CE">
        <w:rPr>
          <w:rFonts w:ascii="Cambria" w:hAnsi="Cambria"/>
          <w:sz w:val="24"/>
          <w:szCs w:val="24"/>
        </w:rPr>
        <w:t xml:space="preserve">A contratação será realizada por inexigibilidade de licitação, nos termos da alínea “f” do inciso III do art. 74 da Lei n. 14.133/2021, com a </w:t>
      </w:r>
      <w:proofErr w:type="gramStart"/>
      <w:r w:rsidRPr="00D108CE">
        <w:rPr>
          <w:rFonts w:ascii="Cambria" w:hAnsi="Cambria"/>
          <w:sz w:val="24"/>
          <w:szCs w:val="24"/>
        </w:rPr>
        <w:t>empresa</w:t>
      </w:r>
      <w:r w:rsidR="00544C00" w:rsidRPr="00D108CE">
        <w:rPr>
          <w:rFonts w:ascii="Cambria" w:hAnsi="Cambria"/>
          <w:sz w:val="24"/>
          <w:szCs w:val="24"/>
        </w:rPr>
        <w:t xml:space="preserve"> </w:t>
      </w:r>
      <w:r w:rsidRPr="00D108CE">
        <w:rPr>
          <w:rFonts w:ascii="Cambria" w:hAnsi="Cambria"/>
          <w:sz w:val="24"/>
          <w:szCs w:val="24"/>
        </w:rPr>
        <w:t>,</w:t>
      </w:r>
      <w:proofErr w:type="gramEnd"/>
      <w:r w:rsidRPr="00D108CE">
        <w:rPr>
          <w:rFonts w:ascii="Cambria" w:hAnsi="Cambria"/>
          <w:sz w:val="24"/>
          <w:szCs w:val="24"/>
        </w:rPr>
        <w:t xml:space="preserve"> CNPJ n. 14.087.594/0001-24, no valor total de R$ </w:t>
      </w:r>
      <w:r w:rsidR="00544C00" w:rsidRPr="00D108CE">
        <w:rPr>
          <w:rFonts w:ascii="Cambria" w:hAnsi="Cambria"/>
          <w:sz w:val="24"/>
          <w:szCs w:val="24"/>
        </w:rPr>
        <w:t>3.036,00</w:t>
      </w:r>
      <w:r w:rsidRPr="00D108CE">
        <w:rPr>
          <w:rFonts w:ascii="Cambria" w:hAnsi="Cambria"/>
          <w:sz w:val="24"/>
          <w:szCs w:val="24"/>
        </w:rPr>
        <w:t xml:space="preserve"> (quinze mil e trezentos reais). Para verificação da regularidade do procedimento, destacam-se, entre outros, os seguintes atos:</w:t>
      </w:r>
    </w:p>
    <w:p w14:paraId="765DF33C" w14:textId="0D4942D4" w:rsidR="006B1301" w:rsidRPr="00D108CE" w:rsidRDefault="006B1301" w:rsidP="006B1301">
      <w:pPr>
        <w:pStyle w:val="PargrafodaLista"/>
        <w:numPr>
          <w:ilvl w:val="0"/>
          <w:numId w:val="2"/>
        </w:numPr>
        <w:jc w:val="both"/>
        <w:rPr>
          <w:rFonts w:ascii="Cambria" w:hAnsi="Cambria"/>
        </w:rPr>
      </w:pPr>
      <w:r w:rsidRPr="00D108CE">
        <w:rPr>
          <w:rFonts w:ascii="Cambria" w:hAnsi="Cambria"/>
        </w:rPr>
        <w:t xml:space="preserve">Documento de Oficialização da Demanda – DOD; </w:t>
      </w:r>
    </w:p>
    <w:p w14:paraId="2168ED3D" w14:textId="2E4EC0FF" w:rsidR="006B1301" w:rsidRPr="00D108CE" w:rsidRDefault="006B1301" w:rsidP="006B1301">
      <w:pPr>
        <w:pStyle w:val="PargrafodaLista"/>
        <w:ind w:left="1418"/>
        <w:jc w:val="both"/>
        <w:rPr>
          <w:rFonts w:ascii="Cambria" w:hAnsi="Cambria" w:cs="Arial"/>
          <w:sz w:val="24"/>
          <w:szCs w:val="24"/>
        </w:rPr>
      </w:pPr>
      <w:r w:rsidRPr="00D108CE">
        <w:rPr>
          <w:rFonts w:ascii="Cambria" w:hAnsi="Cambria"/>
        </w:rPr>
        <w:t xml:space="preserve">II)           Estudo Técnico Preliminar – ETP; </w:t>
      </w:r>
    </w:p>
    <w:p w14:paraId="456CFA2C" w14:textId="1AD89213" w:rsidR="007D1420" w:rsidRPr="00D108CE" w:rsidRDefault="006B1301" w:rsidP="007D1420">
      <w:pPr>
        <w:pStyle w:val="PargrafodaLista"/>
        <w:numPr>
          <w:ilvl w:val="0"/>
          <w:numId w:val="3"/>
        </w:numPr>
        <w:jc w:val="both"/>
        <w:rPr>
          <w:rFonts w:ascii="Cambria" w:hAnsi="Cambria"/>
        </w:rPr>
      </w:pPr>
      <w:r w:rsidRPr="00D108CE">
        <w:rPr>
          <w:rFonts w:ascii="Cambria" w:hAnsi="Cambria"/>
        </w:rPr>
        <w:t xml:space="preserve">Gerenciamento de Riscos; </w:t>
      </w:r>
    </w:p>
    <w:p w14:paraId="7412BA33" w14:textId="77777777" w:rsidR="007D1420" w:rsidRPr="00D108CE" w:rsidRDefault="006B1301" w:rsidP="007D1420">
      <w:pPr>
        <w:pStyle w:val="PargrafodaLista"/>
        <w:ind w:left="1418"/>
        <w:jc w:val="both"/>
        <w:rPr>
          <w:rFonts w:ascii="Cambria" w:hAnsi="Cambria"/>
        </w:rPr>
      </w:pPr>
      <w:r w:rsidRPr="00D108CE">
        <w:rPr>
          <w:rFonts w:ascii="Cambria" w:hAnsi="Cambria"/>
        </w:rPr>
        <w:t xml:space="preserve">IV) </w:t>
      </w:r>
      <w:r w:rsidR="007D1420" w:rsidRPr="00D108CE">
        <w:rPr>
          <w:rFonts w:ascii="Cambria" w:hAnsi="Cambria"/>
        </w:rPr>
        <w:t xml:space="preserve">         </w:t>
      </w:r>
      <w:r w:rsidRPr="00D108CE">
        <w:rPr>
          <w:rFonts w:ascii="Cambria" w:hAnsi="Cambria"/>
        </w:rPr>
        <w:t xml:space="preserve">Requerimento dos participantes para o evento; </w:t>
      </w:r>
    </w:p>
    <w:p w14:paraId="2BC3EB77" w14:textId="799F6C82" w:rsidR="006B1301" w:rsidRPr="00D108CE" w:rsidRDefault="006B1301" w:rsidP="007D1420">
      <w:pPr>
        <w:pStyle w:val="PargrafodaLista"/>
        <w:ind w:left="1418"/>
        <w:jc w:val="both"/>
        <w:rPr>
          <w:rFonts w:ascii="Cambria" w:hAnsi="Cambria"/>
        </w:rPr>
      </w:pPr>
      <w:r w:rsidRPr="00D108CE">
        <w:rPr>
          <w:rFonts w:ascii="Cambria" w:hAnsi="Cambria"/>
        </w:rPr>
        <w:t xml:space="preserve">V) </w:t>
      </w:r>
      <w:r w:rsidR="007D1420" w:rsidRPr="00D108CE">
        <w:rPr>
          <w:rFonts w:ascii="Cambria" w:hAnsi="Cambria"/>
        </w:rPr>
        <w:t xml:space="preserve">          </w:t>
      </w:r>
      <w:r w:rsidRPr="00D108CE">
        <w:rPr>
          <w:rFonts w:ascii="Cambria" w:hAnsi="Cambria"/>
        </w:rPr>
        <w:t xml:space="preserve">Proposta Comercial atualizada; </w:t>
      </w:r>
    </w:p>
    <w:p w14:paraId="20861AFD" w14:textId="77777777" w:rsidR="006B1301" w:rsidRPr="00D108CE" w:rsidRDefault="006B1301" w:rsidP="006B1301">
      <w:pPr>
        <w:ind w:left="1418"/>
        <w:jc w:val="both"/>
        <w:rPr>
          <w:rFonts w:ascii="Cambria" w:hAnsi="Cambria"/>
        </w:rPr>
      </w:pPr>
      <w:r w:rsidRPr="00D108CE">
        <w:rPr>
          <w:rFonts w:ascii="Cambria" w:hAnsi="Cambria"/>
        </w:rPr>
        <w:lastRenderedPageBreak/>
        <w:t xml:space="preserve">VI) Despacho com aprovação do requerimento pelo Gestor; </w:t>
      </w:r>
    </w:p>
    <w:p w14:paraId="28E91760" w14:textId="77777777" w:rsidR="007D1420" w:rsidRPr="00D108CE" w:rsidRDefault="007D1420" w:rsidP="006B1301">
      <w:pPr>
        <w:ind w:left="1418"/>
        <w:jc w:val="both"/>
        <w:rPr>
          <w:rFonts w:ascii="Cambria" w:hAnsi="Cambria"/>
        </w:rPr>
      </w:pPr>
      <w:r w:rsidRPr="00D108CE">
        <w:rPr>
          <w:rFonts w:ascii="Cambria" w:hAnsi="Cambria"/>
        </w:rPr>
        <w:t>VII</w:t>
      </w:r>
      <w:r w:rsidR="006B1301" w:rsidRPr="00D108CE">
        <w:rPr>
          <w:rFonts w:ascii="Cambria" w:hAnsi="Cambria"/>
        </w:rPr>
        <w:t>) Folder sobre o curso a ser contratado;</w:t>
      </w:r>
    </w:p>
    <w:p w14:paraId="6E094C6C" w14:textId="77777777" w:rsidR="007D1420" w:rsidRPr="00D108CE" w:rsidRDefault="007D1420" w:rsidP="006B1301">
      <w:pPr>
        <w:ind w:left="1418"/>
        <w:jc w:val="both"/>
        <w:rPr>
          <w:rFonts w:ascii="Cambria" w:hAnsi="Cambria"/>
        </w:rPr>
      </w:pPr>
      <w:r w:rsidRPr="00D108CE">
        <w:rPr>
          <w:rFonts w:ascii="Cambria" w:hAnsi="Cambria"/>
        </w:rPr>
        <w:t>VIII</w:t>
      </w:r>
      <w:r w:rsidR="006B1301" w:rsidRPr="00D108CE">
        <w:rPr>
          <w:rFonts w:ascii="Cambria" w:hAnsi="Cambria"/>
        </w:rPr>
        <w:t>) Atestados de capacidade técnica da contratada;</w:t>
      </w:r>
    </w:p>
    <w:p w14:paraId="4A7C353A" w14:textId="1242F81E" w:rsidR="007D1420" w:rsidRPr="00D108CE" w:rsidRDefault="003725E8" w:rsidP="006B1301">
      <w:pPr>
        <w:ind w:left="1418"/>
        <w:jc w:val="both"/>
        <w:rPr>
          <w:rFonts w:ascii="Cambria" w:hAnsi="Cambria"/>
        </w:rPr>
      </w:pPr>
      <w:r w:rsidRPr="00D108CE">
        <w:rPr>
          <w:rFonts w:ascii="Cambria" w:hAnsi="Cambria"/>
        </w:rPr>
        <w:t>I</w:t>
      </w:r>
      <w:r w:rsidR="007D1420" w:rsidRPr="00D108CE">
        <w:rPr>
          <w:rFonts w:ascii="Cambria" w:hAnsi="Cambria"/>
        </w:rPr>
        <w:t>X</w:t>
      </w:r>
      <w:r w:rsidR="006B1301" w:rsidRPr="00D108CE">
        <w:rPr>
          <w:rFonts w:ascii="Cambria" w:hAnsi="Cambria"/>
        </w:rPr>
        <w:t xml:space="preserve">) Declaração de disponibilidade orçamentária; </w:t>
      </w:r>
    </w:p>
    <w:p w14:paraId="0566EE97" w14:textId="4D8175E6" w:rsidR="003725E8" w:rsidRPr="00D108CE" w:rsidRDefault="006B1301" w:rsidP="006B1301">
      <w:pPr>
        <w:ind w:left="1418"/>
        <w:jc w:val="both"/>
        <w:rPr>
          <w:rFonts w:ascii="Cambria" w:hAnsi="Cambria"/>
        </w:rPr>
      </w:pPr>
      <w:r w:rsidRPr="00D108CE">
        <w:rPr>
          <w:rFonts w:ascii="Cambria" w:hAnsi="Cambria"/>
        </w:rPr>
        <w:t xml:space="preserve">X) Notas de empenho com preços do mesmo curso da futura contratada; </w:t>
      </w:r>
    </w:p>
    <w:p w14:paraId="0C4DC9F0" w14:textId="4113CA6A" w:rsidR="006B1301" w:rsidRPr="00D108CE" w:rsidRDefault="003725E8" w:rsidP="006B1301">
      <w:pPr>
        <w:ind w:left="1418"/>
        <w:jc w:val="both"/>
        <w:rPr>
          <w:rFonts w:ascii="Cambria" w:hAnsi="Cambria"/>
        </w:rPr>
      </w:pPr>
      <w:r w:rsidRPr="00D108CE">
        <w:rPr>
          <w:rFonts w:ascii="Cambria" w:hAnsi="Cambria"/>
        </w:rPr>
        <w:t>XI) Despacho que fez o encaminhamento com a declaração do ordenador de despesa à análise jurídica.</w:t>
      </w:r>
    </w:p>
    <w:p w14:paraId="3F7741C2" w14:textId="77777777" w:rsidR="007C58C4" w:rsidRPr="00D108CE" w:rsidRDefault="007C58C4" w:rsidP="007C58C4">
      <w:pPr>
        <w:ind w:firstLine="1418"/>
        <w:jc w:val="both"/>
        <w:rPr>
          <w:rFonts w:ascii="Cambria" w:hAnsi="Cambria"/>
        </w:rPr>
      </w:pPr>
      <w:r w:rsidRPr="00D108CE">
        <w:rPr>
          <w:rFonts w:ascii="Cambria" w:hAnsi="Cambria"/>
        </w:rPr>
        <w:t xml:space="preserve">Vieram os autos a esta Assessoria, para manifestação acerca da regularidade do procedimento de contratação direta, nos termos do art. 53, § 4º, da Lei n. 14.133/2021. </w:t>
      </w:r>
    </w:p>
    <w:p w14:paraId="0F6E0BF3" w14:textId="77777777" w:rsidR="007C58C4" w:rsidRPr="00D108CE" w:rsidRDefault="007C58C4" w:rsidP="007C58C4">
      <w:pPr>
        <w:ind w:firstLine="1418"/>
        <w:jc w:val="both"/>
        <w:rPr>
          <w:rFonts w:ascii="Cambria" w:hAnsi="Cambria"/>
        </w:rPr>
      </w:pPr>
      <w:r w:rsidRPr="00D108CE">
        <w:rPr>
          <w:rFonts w:ascii="Cambria" w:hAnsi="Cambria"/>
        </w:rPr>
        <w:t xml:space="preserve">É o relatório. </w:t>
      </w:r>
    </w:p>
    <w:p w14:paraId="24D2FA59" w14:textId="5D227EF9" w:rsidR="003725E8" w:rsidRPr="00D108CE" w:rsidRDefault="007C58C4" w:rsidP="007C58C4">
      <w:pPr>
        <w:ind w:firstLine="1418"/>
        <w:jc w:val="both"/>
        <w:rPr>
          <w:rFonts w:ascii="Cambria" w:hAnsi="Cambria" w:cs="Arial"/>
          <w:sz w:val="24"/>
          <w:szCs w:val="24"/>
        </w:rPr>
      </w:pPr>
      <w:r w:rsidRPr="00D108CE">
        <w:rPr>
          <w:rFonts w:ascii="Cambria" w:hAnsi="Cambria"/>
        </w:rPr>
        <w:t>Opina-se.</w:t>
      </w:r>
    </w:p>
    <w:p w14:paraId="28E84C69" w14:textId="77777777" w:rsidR="0051004A" w:rsidRPr="00D108CE" w:rsidRDefault="0051004A" w:rsidP="00D35CBE">
      <w:pPr>
        <w:ind w:firstLine="1418"/>
        <w:jc w:val="both"/>
        <w:rPr>
          <w:rFonts w:ascii="Cambria" w:hAnsi="Cambria"/>
          <w:b/>
          <w:bCs/>
        </w:rPr>
      </w:pPr>
      <w:r w:rsidRPr="00D108CE">
        <w:rPr>
          <w:rFonts w:ascii="Cambria" w:hAnsi="Cambria"/>
          <w:b/>
          <w:bCs/>
        </w:rPr>
        <w:t xml:space="preserve">2. Análise Jurídica </w:t>
      </w:r>
    </w:p>
    <w:p w14:paraId="028C00BE" w14:textId="77777777" w:rsidR="0051004A" w:rsidRPr="00D108CE" w:rsidRDefault="0051004A" w:rsidP="00D35CBE">
      <w:pPr>
        <w:ind w:firstLine="1418"/>
        <w:jc w:val="both"/>
        <w:rPr>
          <w:rFonts w:ascii="Cambria" w:hAnsi="Cambria"/>
          <w:b/>
          <w:bCs/>
        </w:rPr>
      </w:pPr>
      <w:r w:rsidRPr="00D108CE">
        <w:rPr>
          <w:rFonts w:ascii="Cambria" w:hAnsi="Cambria"/>
          <w:b/>
          <w:bCs/>
        </w:rPr>
        <w:t xml:space="preserve">2.1. Planejamento da Contratação </w:t>
      </w:r>
    </w:p>
    <w:p w14:paraId="7382E569" w14:textId="77777777" w:rsidR="0051004A" w:rsidRPr="00D108CE" w:rsidRDefault="0051004A" w:rsidP="00D35CBE">
      <w:pPr>
        <w:ind w:firstLine="1418"/>
        <w:jc w:val="both"/>
        <w:rPr>
          <w:rFonts w:ascii="Cambria" w:hAnsi="Cambria"/>
        </w:rPr>
      </w:pPr>
      <w:r w:rsidRPr="00D108CE">
        <w:rPr>
          <w:rFonts w:ascii="Cambria" w:hAnsi="Cambria"/>
        </w:rPr>
        <w:t xml:space="preserve">Inicialmente, a fase preparatória da contratação seguiu os trâmites da Nova Lei de Licitações e Contratos Administrativos, Lei n. 14.133/2021. </w:t>
      </w:r>
    </w:p>
    <w:p w14:paraId="42CB4823" w14:textId="77777777" w:rsidR="0051004A" w:rsidRPr="00D108CE" w:rsidRDefault="0051004A" w:rsidP="00D35CBE">
      <w:pPr>
        <w:ind w:firstLine="1418"/>
        <w:jc w:val="both"/>
        <w:rPr>
          <w:rFonts w:ascii="Cambria" w:hAnsi="Cambria"/>
        </w:rPr>
      </w:pPr>
      <w:r w:rsidRPr="00D108CE">
        <w:rPr>
          <w:rFonts w:ascii="Cambria" w:hAnsi="Cambria"/>
        </w:rPr>
        <w:t xml:space="preserve">Consta dos autos o Documento de Oficialização da Demanda - DOD (item I do relatório), o Estudo Técnico Preliminar (item II do relatório), o Gerenciamento de Riscos (item III do relatório) e o Termo de Referência, conforme dispõe o art. 72, inciso I, da Lei n. 14.133/2021, este último documento substituído pelo Requerimento dos participantes (item IV do relatório), sendo este aprovado pela autoridade competente (item VI do relatório). Tendo em vista a excepcionalidade da demanda, o gabinete informou que o projeto básico foi substituído pelo requerimento acostado nos autos. Da análise dos autos, verifica-se que foram cumpridas as etapas requeridas. </w:t>
      </w:r>
    </w:p>
    <w:p w14:paraId="67D3285F" w14:textId="5BA9E002" w:rsidR="00FD0ED1" w:rsidRPr="00D108CE" w:rsidRDefault="0051004A" w:rsidP="00D35CBE">
      <w:pPr>
        <w:ind w:firstLine="1418"/>
        <w:jc w:val="both"/>
        <w:rPr>
          <w:rFonts w:ascii="Cambria" w:hAnsi="Cambria"/>
        </w:rPr>
      </w:pPr>
      <w:r w:rsidRPr="00D108CE">
        <w:rPr>
          <w:rFonts w:ascii="Cambria" w:hAnsi="Cambria"/>
        </w:rPr>
        <w:t>Assim, entende-se que foram observados os procedimentos exigidos pela portaria supracitada.</w:t>
      </w:r>
    </w:p>
    <w:p w14:paraId="509AD8CF" w14:textId="77777777" w:rsidR="0051004A" w:rsidRPr="00D108CE" w:rsidRDefault="0051004A" w:rsidP="00D35CBE">
      <w:pPr>
        <w:ind w:firstLine="1418"/>
        <w:jc w:val="both"/>
        <w:rPr>
          <w:rFonts w:ascii="Cambria" w:hAnsi="Cambria"/>
          <w:b/>
          <w:bCs/>
        </w:rPr>
      </w:pPr>
      <w:r w:rsidRPr="00D108CE">
        <w:rPr>
          <w:rFonts w:ascii="Cambria" w:hAnsi="Cambria"/>
          <w:b/>
          <w:bCs/>
        </w:rPr>
        <w:t xml:space="preserve">2.2. Da Participação de Servidores em Eventos Externos </w:t>
      </w:r>
    </w:p>
    <w:p w14:paraId="3FDC0F8A" w14:textId="77777777" w:rsidR="0051004A" w:rsidRPr="00D108CE" w:rsidRDefault="0051004A" w:rsidP="00D35CBE">
      <w:pPr>
        <w:ind w:firstLine="1418"/>
        <w:jc w:val="both"/>
        <w:rPr>
          <w:rFonts w:ascii="Cambria" w:hAnsi="Cambria"/>
        </w:rPr>
      </w:pPr>
      <w:r w:rsidRPr="00D108CE">
        <w:rPr>
          <w:rFonts w:ascii="Cambria" w:hAnsi="Cambria"/>
        </w:rPr>
        <w:t xml:space="preserve">A capacitação de servidores em cursos é um dos requisitos estabelecidos na Constituição Federal para a promoção na carreira (CF, art. 39, § 2º) e tem o objetivo de desenvolver, nos servidores, as qualidades necessárias para o desempenho satisfatório de suas atribuições, com a consequente melhoria dos serviços públicos prestados à sociedade. </w:t>
      </w:r>
    </w:p>
    <w:p w14:paraId="522586AC" w14:textId="77777777" w:rsidR="00D237B2" w:rsidRPr="00D108CE" w:rsidRDefault="0051004A" w:rsidP="00D35CBE">
      <w:pPr>
        <w:ind w:firstLine="1418"/>
        <w:jc w:val="both"/>
        <w:rPr>
          <w:rFonts w:ascii="Cambria" w:hAnsi="Cambria"/>
        </w:rPr>
      </w:pPr>
      <w:r w:rsidRPr="00D108CE">
        <w:rPr>
          <w:rFonts w:ascii="Cambria" w:hAnsi="Cambria"/>
        </w:rPr>
        <w:t xml:space="preserve">No âmbito da Câmara Municipal, a participação de servidores em ações de treinamento pelo Plano de Cargos e Salários, e tem como objetivo o desenvolvimento e o aperfeiçoamento profissional do servidor na prestação de serviços à Justiça Federal. </w:t>
      </w:r>
    </w:p>
    <w:p w14:paraId="34996CAB" w14:textId="77777777" w:rsidR="00D237B2" w:rsidRPr="00D108CE" w:rsidRDefault="0051004A" w:rsidP="00D35CBE">
      <w:pPr>
        <w:ind w:firstLine="1418"/>
        <w:jc w:val="both"/>
        <w:rPr>
          <w:rFonts w:ascii="Cambria" w:hAnsi="Cambria"/>
        </w:rPr>
      </w:pPr>
      <w:r w:rsidRPr="00D108CE">
        <w:rPr>
          <w:rFonts w:ascii="Cambria" w:hAnsi="Cambria"/>
        </w:rPr>
        <w:lastRenderedPageBreak/>
        <w:t xml:space="preserve">O </w:t>
      </w:r>
      <w:r w:rsidR="00D237B2" w:rsidRPr="00D108CE">
        <w:rPr>
          <w:rFonts w:ascii="Cambria" w:hAnsi="Cambria"/>
        </w:rPr>
        <w:t>normativo da Casa</w:t>
      </w:r>
      <w:r w:rsidRPr="00D108CE">
        <w:rPr>
          <w:rFonts w:ascii="Cambria" w:hAnsi="Cambria"/>
        </w:rPr>
        <w:t xml:space="preserve"> condiciona a participação ao cumprimento de 5 (cinco) requisitos: </w:t>
      </w:r>
    </w:p>
    <w:p w14:paraId="750F3C8D" w14:textId="77777777" w:rsidR="00D237B2" w:rsidRPr="00D108CE" w:rsidRDefault="0051004A" w:rsidP="00D35CBE">
      <w:pPr>
        <w:ind w:firstLine="1418"/>
        <w:jc w:val="both"/>
        <w:rPr>
          <w:rFonts w:ascii="Cambria" w:hAnsi="Cambria"/>
        </w:rPr>
      </w:pPr>
      <w:r w:rsidRPr="00D108CE">
        <w:rPr>
          <w:rFonts w:ascii="Cambria" w:hAnsi="Cambria"/>
        </w:rPr>
        <w:t xml:space="preserve">I - </w:t>
      </w:r>
      <w:proofErr w:type="gramStart"/>
      <w:r w:rsidRPr="00D108CE">
        <w:rPr>
          <w:rFonts w:ascii="Cambria" w:hAnsi="Cambria"/>
        </w:rPr>
        <w:t>vinculação</w:t>
      </w:r>
      <w:proofErr w:type="gramEnd"/>
      <w:r w:rsidRPr="00D108CE">
        <w:rPr>
          <w:rFonts w:ascii="Cambria" w:hAnsi="Cambria"/>
        </w:rPr>
        <w:t xml:space="preserve"> do tema do evento às áreas de interesse d</w:t>
      </w:r>
      <w:r w:rsidR="00D237B2" w:rsidRPr="00D108CE">
        <w:rPr>
          <w:rFonts w:ascii="Cambria" w:hAnsi="Cambria"/>
        </w:rPr>
        <w:t>a gestão pública</w:t>
      </w:r>
      <w:r w:rsidRPr="00D108CE">
        <w:rPr>
          <w:rFonts w:ascii="Cambria" w:hAnsi="Cambria"/>
        </w:rPr>
        <w:t xml:space="preserve">; </w:t>
      </w:r>
    </w:p>
    <w:p w14:paraId="7174F9E5" w14:textId="77777777" w:rsidR="00D237B2" w:rsidRPr="00D108CE" w:rsidRDefault="0051004A" w:rsidP="00D35CBE">
      <w:pPr>
        <w:ind w:firstLine="1418"/>
        <w:jc w:val="both"/>
        <w:rPr>
          <w:rFonts w:ascii="Cambria" w:hAnsi="Cambria"/>
        </w:rPr>
      </w:pPr>
      <w:r w:rsidRPr="00D108CE">
        <w:rPr>
          <w:rFonts w:ascii="Cambria" w:hAnsi="Cambria"/>
        </w:rPr>
        <w:t xml:space="preserve">II - </w:t>
      </w:r>
      <w:proofErr w:type="gramStart"/>
      <w:r w:rsidRPr="00D108CE">
        <w:rPr>
          <w:rFonts w:ascii="Cambria" w:hAnsi="Cambria"/>
        </w:rPr>
        <w:t>correlação</w:t>
      </w:r>
      <w:proofErr w:type="gramEnd"/>
      <w:r w:rsidRPr="00D108CE">
        <w:rPr>
          <w:rFonts w:ascii="Cambria" w:hAnsi="Cambria"/>
        </w:rPr>
        <w:t xml:space="preserve"> do evento com as atividades desenvolvidas pelo servidor ou as competências de sua unidade de lotação; </w:t>
      </w:r>
    </w:p>
    <w:p w14:paraId="363322B7" w14:textId="77777777" w:rsidR="00D237B2" w:rsidRPr="00D108CE" w:rsidRDefault="0051004A" w:rsidP="00D35CBE">
      <w:pPr>
        <w:ind w:firstLine="1418"/>
        <w:jc w:val="both"/>
        <w:rPr>
          <w:rFonts w:ascii="Cambria" w:hAnsi="Cambria"/>
        </w:rPr>
      </w:pPr>
      <w:r w:rsidRPr="00D108CE">
        <w:rPr>
          <w:rFonts w:ascii="Cambria" w:hAnsi="Cambria"/>
        </w:rPr>
        <w:t xml:space="preserve">III - contribuição do evento para a melhoria das atividades desempenhadas pelo servidor no exercício das atribuições do cargo efetivo, do cargo em comissão ou da função de confiança, bem como para a execução da estratégia organizacional; </w:t>
      </w:r>
    </w:p>
    <w:p w14:paraId="67DD9CDC" w14:textId="41441CA2" w:rsidR="0051004A" w:rsidRPr="00D108CE" w:rsidRDefault="0051004A" w:rsidP="00D35CBE">
      <w:pPr>
        <w:ind w:firstLine="1418"/>
        <w:jc w:val="both"/>
        <w:rPr>
          <w:rFonts w:ascii="Cambria" w:hAnsi="Cambria"/>
        </w:rPr>
      </w:pPr>
      <w:r w:rsidRPr="00D108CE">
        <w:rPr>
          <w:rFonts w:ascii="Cambria" w:hAnsi="Cambria"/>
        </w:rPr>
        <w:t xml:space="preserve">IV - </w:t>
      </w:r>
      <w:proofErr w:type="gramStart"/>
      <w:r w:rsidRPr="00D108CE">
        <w:rPr>
          <w:rFonts w:ascii="Cambria" w:hAnsi="Cambria"/>
        </w:rPr>
        <w:t>disponibilidade</w:t>
      </w:r>
      <w:proofErr w:type="gramEnd"/>
      <w:r w:rsidRPr="00D108CE">
        <w:rPr>
          <w:rFonts w:ascii="Cambria" w:hAnsi="Cambria"/>
        </w:rPr>
        <w:t xml:space="preserve"> orçamentária</w:t>
      </w:r>
      <w:r w:rsidR="00D237B2" w:rsidRPr="00D108CE">
        <w:rPr>
          <w:rFonts w:ascii="Cambria" w:hAnsi="Cambria"/>
        </w:rPr>
        <w:t xml:space="preserve"> e financeira</w:t>
      </w:r>
      <w:r w:rsidRPr="00D108CE">
        <w:rPr>
          <w:rFonts w:ascii="Cambria" w:hAnsi="Cambria"/>
        </w:rPr>
        <w:t>.</w:t>
      </w:r>
    </w:p>
    <w:p w14:paraId="2C7BCCC2" w14:textId="38C641A0" w:rsidR="00853D8F" w:rsidRPr="00D108CE" w:rsidRDefault="00853D8F" w:rsidP="00D35CBE">
      <w:pPr>
        <w:ind w:firstLine="1418"/>
        <w:jc w:val="both"/>
        <w:rPr>
          <w:rFonts w:ascii="Cambria" w:hAnsi="Cambria"/>
        </w:rPr>
      </w:pPr>
    </w:p>
    <w:p w14:paraId="5E17B615" w14:textId="00A0FE46" w:rsidR="00853D8F" w:rsidRPr="00D108CE" w:rsidRDefault="00853D8F" w:rsidP="00D35CBE">
      <w:pPr>
        <w:ind w:firstLine="1418"/>
        <w:jc w:val="both"/>
        <w:rPr>
          <w:rFonts w:ascii="Cambria" w:hAnsi="Cambria" w:cs="TimesNewRomanPS-BoldMT"/>
          <w:b/>
          <w:bCs/>
          <w:sz w:val="24"/>
          <w:szCs w:val="24"/>
          <w14:ligatures w14:val="standardContextual"/>
        </w:rPr>
      </w:pPr>
      <w:r w:rsidRPr="00D108CE">
        <w:rPr>
          <w:rFonts w:ascii="Cambria" w:hAnsi="Cambria" w:cs="TimesNewRomanPS-BoldMT"/>
          <w:b/>
          <w:bCs/>
          <w:sz w:val="24"/>
          <w:szCs w:val="24"/>
          <w14:ligatures w14:val="standardContextual"/>
        </w:rPr>
        <w:t>2.3. Inexigibilidade de Licitação</w:t>
      </w:r>
    </w:p>
    <w:p w14:paraId="3F60DCDB" w14:textId="77777777" w:rsidR="00853D8F" w:rsidRPr="00D108CE" w:rsidRDefault="00853D8F" w:rsidP="00D35CBE">
      <w:pPr>
        <w:ind w:firstLine="1418"/>
        <w:jc w:val="both"/>
        <w:rPr>
          <w:rFonts w:ascii="Cambria" w:hAnsi="Cambria" w:cs="TimesNewRomanPS-BoldMT"/>
          <w:b/>
          <w:bCs/>
          <w:sz w:val="24"/>
          <w:szCs w:val="24"/>
          <w14:ligatures w14:val="standardContextual"/>
        </w:rPr>
      </w:pPr>
    </w:p>
    <w:p w14:paraId="4B4EA3DC" w14:textId="376A236D" w:rsidR="00853D8F" w:rsidRPr="00D108CE" w:rsidRDefault="00853D8F" w:rsidP="00853D8F">
      <w:pPr>
        <w:autoSpaceDE w:val="0"/>
        <w:autoSpaceDN w:val="0"/>
        <w:adjustRightInd w:val="0"/>
        <w:spacing w:after="0" w:line="240" w:lineRule="auto"/>
        <w:ind w:firstLine="1560"/>
        <w:jc w:val="both"/>
        <w:rPr>
          <w:rFonts w:ascii="Cambria" w:hAnsi="Cambria" w:cs="TimesNewRomanPSMT"/>
          <w:sz w:val="24"/>
          <w:szCs w:val="24"/>
          <w14:ligatures w14:val="standardContextual"/>
        </w:rPr>
      </w:pPr>
      <w:r w:rsidRPr="00D108CE">
        <w:rPr>
          <w:rFonts w:ascii="Cambria" w:hAnsi="Cambria" w:cs="TimesNewRomanPSMT"/>
          <w:sz w:val="24"/>
          <w:szCs w:val="24"/>
          <w14:ligatures w14:val="standardContextual"/>
        </w:rPr>
        <w:t>As contratações públicas são, em regra, precedidas de procedimento licitatório que</w:t>
      </w:r>
      <w:r w:rsidR="002846D1" w:rsidRPr="00D108CE">
        <w:rPr>
          <w:rFonts w:ascii="Cambria" w:hAnsi="Cambria" w:cs="TimesNewRomanPSMT"/>
          <w:sz w:val="24"/>
          <w:szCs w:val="24"/>
          <w14:ligatures w14:val="standardContextual"/>
        </w:rPr>
        <w:t xml:space="preserve"> </w:t>
      </w:r>
      <w:r w:rsidRPr="00D108CE">
        <w:rPr>
          <w:rFonts w:ascii="Cambria" w:hAnsi="Cambria" w:cs="TimesNewRomanPSMT"/>
          <w:sz w:val="24"/>
          <w:szCs w:val="24"/>
          <w14:ligatures w14:val="standardContextual"/>
        </w:rPr>
        <w:t>assegure igualdade de condições a todos os concorrentes, por força do que prescreve a Constituição</w:t>
      </w:r>
      <w:r w:rsidR="002846D1" w:rsidRPr="00D108CE">
        <w:rPr>
          <w:rFonts w:ascii="Cambria" w:hAnsi="Cambria" w:cs="TimesNewRomanPSMT"/>
          <w:sz w:val="24"/>
          <w:szCs w:val="24"/>
          <w14:ligatures w14:val="standardContextual"/>
        </w:rPr>
        <w:t xml:space="preserve"> </w:t>
      </w:r>
      <w:r w:rsidRPr="00D108CE">
        <w:rPr>
          <w:rFonts w:ascii="Cambria" w:hAnsi="Cambria" w:cs="TimesNewRomanPSMT"/>
          <w:sz w:val="24"/>
          <w:szCs w:val="24"/>
          <w14:ligatures w14:val="standardContextual"/>
        </w:rPr>
        <w:t>Federal em seu art. 37, inciso XXI. A Lei n. 14.133/2021, no entanto, previu casos – também com</w:t>
      </w:r>
      <w:r w:rsidR="002846D1" w:rsidRPr="00D108CE">
        <w:rPr>
          <w:rFonts w:ascii="Cambria" w:hAnsi="Cambria" w:cs="TimesNewRomanPSMT"/>
          <w:sz w:val="24"/>
          <w:szCs w:val="24"/>
          <w14:ligatures w14:val="standardContextual"/>
        </w:rPr>
        <w:t xml:space="preserve"> </w:t>
      </w:r>
      <w:r w:rsidRPr="00D108CE">
        <w:rPr>
          <w:rFonts w:ascii="Cambria" w:hAnsi="Cambria" w:cs="TimesNewRomanPSMT"/>
          <w:sz w:val="24"/>
          <w:szCs w:val="24"/>
          <w14:ligatures w14:val="standardContextual"/>
        </w:rPr>
        <w:t>fundamento nesse dispositivo constitucional – em que o procedimento poderá ser dispensado, ao tratar das</w:t>
      </w:r>
      <w:r w:rsidR="002846D1" w:rsidRPr="00D108CE">
        <w:rPr>
          <w:rFonts w:ascii="Cambria" w:hAnsi="Cambria" w:cs="TimesNewRomanPSMT"/>
          <w:sz w:val="24"/>
          <w:szCs w:val="24"/>
          <w14:ligatures w14:val="standardContextual"/>
        </w:rPr>
        <w:t xml:space="preserve"> </w:t>
      </w:r>
      <w:r w:rsidRPr="00D108CE">
        <w:rPr>
          <w:rFonts w:ascii="Cambria" w:hAnsi="Cambria" w:cs="TimesNewRomanPSMT"/>
          <w:sz w:val="24"/>
          <w:szCs w:val="24"/>
          <w14:ligatures w14:val="standardContextual"/>
        </w:rPr>
        <w:t>hipóteses de contratação direta (</w:t>
      </w:r>
      <w:proofErr w:type="spellStart"/>
      <w:r w:rsidRPr="00D108CE">
        <w:rPr>
          <w:rFonts w:ascii="Cambria" w:hAnsi="Cambria" w:cs="TimesNewRomanPSMT"/>
          <w:sz w:val="24"/>
          <w:szCs w:val="24"/>
          <w14:ligatures w14:val="standardContextual"/>
        </w:rPr>
        <w:t>arts</w:t>
      </w:r>
      <w:proofErr w:type="spellEnd"/>
      <w:r w:rsidRPr="00D108CE">
        <w:rPr>
          <w:rFonts w:ascii="Cambria" w:hAnsi="Cambria" w:cs="TimesNewRomanPSMT"/>
          <w:sz w:val="24"/>
          <w:szCs w:val="24"/>
          <w14:ligatures w14:val="standardContextual"/>
        </w:rPr>
        <w:t>. 72 e seguintes).</w:t>
      </w:r>
    </w:p>
    <w:p w14:paraId="2BF57113" w14:textId="41716FCE" w:rsidR="00853D8F" w:rsidRPr="00D108CE" w:rsidRDefault="00853D8F" w:rsidP="002846D1">
      <w:pPr>
        <w:autoSpaceDE w:val="0"/>
        <w:autoSpaceDN w:val="0"/>
        <w:adjustRightInd w:val="0"/>
        <w:spacing w:after="0" w:line="240" w:lineRule="auto"/>
        <w:ind w:firstLine="1560"/>
        <w:jc w:val="both"/>
        <w:rPr>
          <w:rFonts w:ascii="Cambria" w:hAnsi="Cambria" w:cs="TimesNewRomanPSMT"/>
          <w:sz w:val="24"/>
          <w:szCs w:val="24"/>
          <w14:ligatures w14:val="standardContextual"/>
        </w:rPr>
      </w:pPr>
      <w:r w:rsidRPr="00D108CE">
        <w:rPr>
          <w:rFonts w:ascii="Cambria" w:hAnsi="Cambria" w:cs="TimesNewRomanPSMT"/>
          <w:sz w:val="24"/>
          <w:szCs w:val="24"/>
          <w14:ligatures w14:val="standardContextual"/>
        </w:rPr>
        <w:t>Neste diapasão, a contratação em referência será realizada por inexigibilidade de</w:t>
      </w:r>
      <w:r w:rsidR="002846D1" w:rsidRPr="00D108CE">
        <w:rPr>
          <w:rFonts w:ascii="Cambria" w:hAnsi="Cambria" w:cs="TimesNewRomanPSMT"/>
          <w:sz w:val="24"/>
          <w:szCs w:val="24"/>
          <w14:ligatures w14:val="standardContextual"/>
        </w:rPr>
        <w:t xml:space="preserve"> </w:t>
      </w:r>
      <w:r w:rsidRPr="00D108CE">
        <w:rPr>
          <w:rFonts w:ascii="Cambria" w:hAnsi="Cambria" w:cs="TimesNewRomanPSMT"/>
          <w:sz w:val="24"/>
          <w:szCs w:val="24"/>
          <w14:ligatures w14:val="standardContextual"/>
        </w:rPr>
        <w:t xml:space="preserve">licitação, com fulcro no art. 74, inciso III, alínea “f”, da Lei n. 14.133/2021, </w:t>
      </w:r>
      <w:r w:rsidRPr="00D108CE">
        <w:rPr>
          <w:rFonts w:ascii="Cambria" w:hAnsi="Cambria" w:cs="TimesNewRomanPS-ItalicMT"/>
          <w:i/>
          <w:iCs/>
          <w:sz w:val="24"/>
          <w:szCs w:val="24"/>
          <w14:ligatures w14:val="standardContextual"/>
        </w:rPr>
        <w:t xml:space="preserve">in </w:t>
      </w:r>
      <w:proofErr w:type="spellStart"/>
      <w:r w:rsidRPr="00D108CE">
        <w:rPr>
          <w:rFonts w:ascii="Cambria" w:hAnsi="Cambria" w:cs="TimesNewRomanPS-ItalicMT"/>
          <w:i/>
          <w:iCs/>
          <w:sz w:val="24"/>
          <w:szCs w:val="24"/>
          <w14:ligatures w14:val="standardContextual"/>
        </w:rPr>
        <w:t>verbis</w:t>
      </w:r>
      <w:proofErr w:type="spellEnd"/>
      <w:r w:rsidRPr="00D108CE">
        <w:rPr>
          <w:rFonts w:ascii="Cambria" w:hAnsi="Cambria" w:cs="TimesNewRomanPSMT"/>
          <w:sz w:val="24"/>
          <w:szCs w:val="24"/>
          <w14:ligatures w14:val="standardContextual"/>
        </w:rPr>
        <w:t>:</w:t>
      </w:r>
    </w:p>
    <w:p w14:paraId="67F18DD0" w14:textId="77777777" w:rsidR="002846D1" w:rsidRPr="00D108CE" w:rsidRDefault="002846D1" w:rsidP="002846D1">
      <w:pPr>
        <w:autoSpaceDE w:val="0"/>
        <w:autoSpaceDN w:val="0"/>
        <w:adjustRightInd w:val="0"/>
        <w:spacing w:after="0" w:line="240" w:lineRule="auto"/>
        <w:ind w:firstLine="1560"/>
        <w:jc w:val="both"/>
        <w:rPr>
          <w:rFonts w:ascii="Cambria" w:hAnsi="Cambria" w:cs="TimesNewRomanPSMT"/>
          <w:sz w:val="24"/>
          <w:szCs w:val="24"/>
          <w14:ligatures w14:val="standardContextual"/>
        </w:rPr>
      </w:pPr>
    </w:p>
    <w:p w14:paraId="011BA4CA" w14:textId="77777777" w:rsidR="002846D1" w:rsidRPr="00D108CE" w:rsidRDefault="002846D1" w:rsidP="002846D1">
      <w:pPr>
        <w:autoSpaceDE w:val="0"/>
        <w:autoSpaceDN w:val="0"/>
        <w:adjustRightInd w:val="0"/>
        <w:spacing w:after="0" w:line="240" w:lineRule="auto"/>
        <w:ind w:left="2835"/>
        <w:jc w:val="both"/>
        <w:rPr>
          <w:rFonts w:ascii="Cambria" w:hAnsi="Cambria" w:cs="TimesNewRomanPSMT"/>
          <w:i/>
          <w:iCs/>
          <w:sz w:val="20"/>
          <w:szCs w:val="20"/>
          <w14:ligatures w14:val="standardContextual"/>
        </w:rPr>
      </w:pPr>
      <w:r w:rsidRPr="00D108CE">
        <w:rPr>
          <w:rFonts w:ascii="Cambria" w:hAnsi="Cambria" w:cs="TimesNewRomanPSMT"/>
          <w:i/>
          <w:iCs/>
          <w:sz w:val="20"/>
          <w:szCs w:val="20"/>
          <w14:ligatures w14:val="standardContextual"/>
        </w:rPr>
        <w:t>Art. 74. É inexigível a licitação quando inviável a competição, em especial nos casos de:</w:t>
      </w:r>
    </w:p>
    <w:p w14:paraId="1C8D8478" w14:textId="77777777" w:rsidR="002846D1" w:rsidRPr="00D108CE" w:rsidRDefault="002846D1" w:rsidP="002846D1">
      <w:pPr>
        <w:autoSpaceDE w:val="0"/>
        <w:autoSpaceDN w:val="0"/>
        <w:adjustRightInd w:val="0"/>
        <w:spacing w:after="0" w:line="240" w:lineRule="auto"/>
        <w:ind w:left="2835"/>
        <w:jc w:val="both"/>
        <w:rPr>
          <w:rFonts w:ascii="Cambria" w:hAnsi="Cambria" w:cs="TimesNewRomanPSMT"/>
          <w:i/>
          <w:iCs/>
          <w:sz w:val="20"/>
          <w:szCs w:val="20"/>
          <w14:ligatures w14:val="standardContextual"/>
        </w:rPr>
      </w:pPr>
      <w:r w:rsidRPr="00D108CE">
        <w:rPr>
          <w:rFonts w:ascii="Cambria" w:hAnsi="Cambria" w:cs="TimesNewRomanPSMT"/>
          <w:i/>
          <w:iCs/>
          <w:sz w:val="20"/>
          <w:szCs w:val="20"/>
          <w14:ligatures w14:val="standardContextual"/>
        </w:rPr>
        <w:t>[...]</w:t>
      </w:r>
    </w:p>
    <w:p w14:paraId="674C495A" w14:textId="46BD8F73" w:rsidR="002846D1" w:rsidRPr="00D108CE" w:rsidRDefault="002846D1" w:rsidP="002846D1">
      <w:pPr>
        <w:autoSpaceDE w:val="0"/>
        <w:autoSpaceDN w:val="0"/>
        <w:adjustRightInd w:val="0"/>
        <w:spacing w:after="0" w:line="240" w:lineRule="auto"/>
        <w:ind w:left="2835"/>
        <w:jc w:val="both"/>
        <w:rPr>
          <w:rFonts w:ascii="Cambria" w:hAnsi="Cambria" w:cs="TimesNewRomanPSMT"/>
          <w:i/>
          <w:iCs/>
          <w:sz w:val="20"/>
          <w:szCs w:val="20"/>
          <w14:ligatures w14:val="standardContextual"/>
        </w:rPr>
      </w:pPr>
      <w:r w:rsidRPr="00D108CE">
        <w:rPr>
          <w:rFonts w:ascii="Cambria" w:hAnsi="Cambria" w:cs="TimesNewRomanPSMT"/>
          <w:i/>
          <w:iCs/>
          <w:sz w:val="20"/>
          <w:szCs w:val="20"/>
          <w14:ligatures w14:val="standardContextual"/>
        </w:rPr>
        <w:t>III - contratação dos seguintes serviços técnicos especializados de natureza predominantemente intelectual com profissionais ou empresas de notória especialização,</w:t>
      </w:r>
    </w:p>
    <w:p w14:paraId="74A70172" w14:textId="77777777" w:rsidR="002846D1" w:rsidRPr="00D108CE" w:rsidRDefault="002846D1" w:rsidP="002846D1">
      <w:pPr>
        <w:autoSpaceDE w:val="0"/>
        <w:autoSpaceDN w:val="0"/>
        <w:adjustRightInd w:val="0"/>
        <w:spacing w:after="0" w:line="240" w:lineRule="auto"/>
        <w:ind w:left="2835"/>
        <w:jc w:val="both"/>
        <w:rPr>
          <w:rFonts w:ascii="Cambria" w:hAnsi="Cambria" w:cs="TimesNewRomanPSMT"/>
          <w:i/>
          <w:iCs/>
          <w:sz w:val="20"/>
          <w:szCs w:val="20"/>
          <w14:ligatures w14:val="standardContextual"/>
        </w:rPr>
      </w:pPr>
      <w:r w:rsidRPr="00D108CE">
        <w:rPr>
          <w:rFonts w:ascii="Cambria" w:hAnsi="Cambria" w:cs="TimesNewRomanPSMT"/>
          <w:i/>
          <w:iCs/>
          <w:sz w:val="20"/>
          <w:szCs w:val="20"/>
          <w14:ligatures w14:val="standardContextual"/>
        </w:rPr>
        <w:t>vedada a inexigibilidade para serviços de publicidade e divulgação:</w:t>
      </w:r>
    </w:p>
    <w:p w14:paraId="45EF6701" w14:textId="77777777" w:rsidR="002846D1" w:rsidRPr="00D108CE" w:rsidRDefault="002846D1" w:rsidP="002846D1">
      <w:pPr>
        <w:autoSpaceDE w:val="0"/>
        <w:autoSpaceDN w:val="0"/>
        <w:adjustRightInd w:val="0"/>
        <w:spacing w:after="0" w:line="240" w:lineRule="auto"/>
        <w:ind w:left="2835"/>
        <w:jc w:val="both"/>
        <w:rPr>
          <w:rFonts w:ascii="Cambria" w:hAnsi="Cambria" w:cs="TimesNewRomanPSMT"/>
          <w:i/>
          <w:iCs/>
          <w:sz w:val="20"/>
          <w:szCs w:val="20"/>
          <w14:ligatures w14:val="standardContextual"/>
        </w:rPr>
      </w:pPr>
      <w:r w:rsidRPr="00D108CE">
        <w:rPr>
          <w:rFonts w:ascii="Cambria" w:hAnsi="Cambria" w:cs="TimesNewRomanPSMT"/>
          <w:i/>
          <w:iCs/>
          <w:sz w:val="20"/>
          <w:szCs w:val="20"/>
          <w14:ligatures w14:val="standardContextual"/>
        </w:rPr>
        <w:t>[...]</w:t>
      </w:r>
    </w:p>
    <w:p w14:paraId="2A9B246F" w14:textId="0C4F5D1F" w:rsidR="002846D1" w:rsidRPr="00D108CE" w:rsidRDefault="002846D1" w:rsidP="002846D1">
      <w:pPr>
        <w:autoSpaceDE w:val="0"/>
        <w:autoSpaceDN w:val="0"/>
        <w:adjustRightInd w:val="0"/>
        <w:spacing w:after="0" w:line="240" w:lineRule="auto"/>
        <w:ind w:left="2124" w:firstLine="708"/>
        <w:jc w:val="both"/>
        <w:rPr>
          <w:rFonts w:ascii="Cambria" w:hAnsi="Cambria" w:cs="Arial"/>
          <w:i/>
          <w:iCs/>
          <w:sz w:val="24"/>
          <w:szCs w:val="24"/>
        </w:rPr>
      </w:pPr>
      <w:r w:rsidRPr="00D108CE">
        <w:rPr>
          <w:rFonts w:ascii="Cambria" w:hAnsi="Cambria" w:cs="TimesNewRomanPSMT"/>
          <w:i/>
          <w:iCs/>
          <w:sz w:val="20"/>
          <w:szCs w:val="20"/>
          <w14:ligatures w14:val="standardContextual"/>
        </w:rPr>
        <w:t>f) treinamento e aperfeiçoamento de pessoal;</w:t>
      </w:r>
    </w:p>
    <w:p w14:paraId="379987A2" w14:textId="77777777" w:rsidR="005244C6" w:rsidRPr="00D108CE" w:rsidRDefault="005244C6" w:rsidP="005244C6">
      <w:pPr>
        <w:autoSpaceDE w:val="0"/>
        <w:autoSpaceDN w:val="0"/>
        <w:adjustRightInd w:val="0"/>
        <w:spacing w:after="0" w:line="240" w:lineRule="auto"/>
        <w:rPr>
          <w:rFonts w:ascii="Cambria" w:hAnsi="Cambria" w:cs="TimesNewRomanPSMT"/>
          <w:sz w:val="24"/>
          <w:szCs w:val="24"/>
          <w14:ligatures w14:val="standardContextual"/>
        </w:rPr>
      </w:pPr>
    </w:p>
    <w:p w14:paraId="3C454052" w14:textId="2FDCEC4C" w:rsidR="00FD0ED1" w:rsidRPr="00D108CE" w:rsidRDefault="005244C6" w:rsidP="005244C6">
      <w:pPr>
        <w:autoSpaceDE w:val="0"/>
        <w:autoSpaceDN w:val="0"/>
        <w:adjustRightInd w:val="0"/>
        <w:spacing w:after="0" w:line="240" w:lineRule="auto"/>
        <w:ind w:firstLine="1560"/>
        <w:jc w:val="both"/>
        <w:rPr>
          <w:rFonts w:ascii="Cambria" w:hAnsi="Cambria" w:cs="TimesNewRomanPSMT"/>
          <w:sz w:val="24"/>
          <w:szCs w:val="24"/>
          <w14:ligatures w14:val="standardContextual"/>
        </w:rPr>
      </w:pPr>
      <w:r w:rsidRPr="00D108CE">
        <w:rPr>
          <w:rFonts w:ascii="Cambria" w:hAnsi="Cambria" w:cs="TimesNewRomanPSMT"/>
          <w:sz w:val="24"/>
          <w:szCs w:val="24"/>
          <w14:ligatures w14:val="standardContextual"/>
        </w:rPr>
        <w:t>Como é possível inferir, é inexigível a licitação quando inviável a competição e, nesta hipótese em especial, para as contratações de serviços técnicos especializados, de natureza predominantemente intelectual, com profissionais ou empresas de notória especialização, tendo por finalidade o treinamento e aperfeiçoamento de pessoal.</w:t>
      </w:r>
    </w:p>
    <w:p w14:paraId="5AE6F4E2" w14:textId="66EB489F" w:rsidR="005244C6" w:rsidRPr="00D108CE" w:rsidRDefault="005244C6" w:rsidP="005244C6">
      <w:pPr>
        <w:autoSpaceDE w:val="0"/>
        <w:autoSpaceDN w:val="0"/>
        <w:adjustRightInd w:val="0"/>
        <w:spacing w:after="0" w:line="240" w:lineRule="auto"/>
        <w:ind w:firstLine="1560"/>
        <w:jc w:val="both"/>
        <w:rPr>
          <w:rFonts w:ascii="Cambria" w:hAnsi="Cambria" w:cs="TimesNewRomanPSMT"/>
          <w:sz w:val="24"/>
          <w:szCs w:val="24"/>
          <w14:ligatures w14:val="standardContextual"/>
        </w:rPr>
      </w:pPr>
      <w:r w:rsidRPr="00D108CE">
        <w:rPr>
          <w:rFonts w:ascii="Cambria" w:hAnsi="Cambria" w:cs="TimesNewRomanPSMT"/>
          <w:sz w:val="24"/>
          <w:szCs w:val="24"/>
          <w14:ligatures w14:val="standardContextual"/>
        </w:rPr>
        <w:t>No ponto, cumpre transcrever as lições de Edgar Guimarães e Ricardo Sampaio, que distinguem as espécies de inviabilidade de competição entre relativa e absoluta, nos seguintes termos:</w:t>
      </w:r>
    </w:p>
    <w:p w14:paraId="49437E01" w14:textId="77777777" w:rsidR="00F753F9" w:rsidRPr="00D108CE" w:rsidRDefault="00F753F9" w:rsidP="00F753F9">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lastRenderedPageBreak/>
        <w:t>[...]</w:t>
      </w:r>
    </w:p>
    <w:p w14:paraId="295240B6" w14:textId="5ABEEE8E" w:rsidR="005244C6" w:rsidRPr="00D108CE" w:rsidRDefault="00F753F9" w:rsidP="00F753F9">
      <w:pPr>
        <w:autoSpaceDE w:val="0"/>
        <w:autoSpaceDN w:val="0"/>
        <w:adjustRightInd w:val="0"/>
        <w:spacing w:after="0" w:line="240" w:lineRule="auto"/>
        <w:ind w:left="2835"/>
        <w:jc w:val="both"/>
        <w:rPr>
          <w:rFonts w:ascii="Cambria" w:hAnsi="Cambria" w:cs="Arial"/>
          <w:sz w:val="24"/>
          <w:szCs w:val="24"/>
        </w:rPr>
      </w:pPr>
      <w:r w:rsidRPr="00D108CE">
        <w:rPr>
          <w:rFonts w:ascii="Cambria" w:hAnsi="Cambria" w:cs="TimesNewRomanPSMT"/>
          <w:sz w:val="20"/>
          <w:szCs w:val="20"/>
          <w14:ligatures w14:val="standardContextual"/>
        </w:rPr>
        <w:t>A inviabilidade de competição pode ser absoluta (art. 74, inciso I e IV) ou relativa (art. 74, incisos II, III e V). Configura a inviabilidade absoluta a inexistência de competidores, ou seja, quando apenas uma pessoa pode executar o objeto pretendido pela Administração (art. 74, inciso I) ou quando a Administração precisa contratar todos os interessados que preencham as condições definidas para a contratação (art. 74, inciso IV). Será relativa quando, apesar de existir mais de uma pessoa capaz de executar o objeto pretendido, a Administração não dispuser de meios e critérios objetivos para selecionar a proposta mais vantajosa.</w:t>
      </w:r>
    </w:p>
    <w:p w14:paraId="630932C9" w14:textId="77777777" w:rsidR="00FD0ED1" w:rsidRPr="00D108CE" w:rsidRDefault="00FD0ED1" w:rsidP="00F753F9">
      <w:pPr>
        <w:ind w:left="2835" w:firstLine="1418"/>
        <w:jc w:val="both"/>
        <w:rPr>
          <w:rFonts w:ascii="Cambria" w:hAnsi="Cambria" w:cs="Arial"/>
          <w:sz w:val="24"/>
          <w:szCs w:val="24"/>
        </w:rPr>
      </w:pPr>
    </w:p>
    <w:p w14:paraId="370F28D3" w14:textId="33DEDFAF" w:rsidR="00FD0ED1" w:rsidRPr="00D108CE" w:rsidRDefault="00F31493" w:rsidP="00F31493">
      <w:pPr>
        <w:autoSpaceDE w:val="0"/>
        <w:autoSpaceDN w:val="0"/>
        <w:adjustRightInd w:val="0"/>
        <w:spacing w:after="0" w:line="240" w:lineRule="auto"/>
        <w:ind w:firstLine="1560"/>
        <w:jc w:val="both"/>
        <w:rPr>
          <w:rFonts w:ascii="Cambria" w:hAnsi="Cambria" w:cs="Arial"/>
          <w:sz w:val="24"/>
          <w:szCs w:val="24"/>
        </w:rPr>
      </w:pPr>
      <w:r w:rsidRPr="00D108CE">
        <w:rPr>
          <w:rFonts w:ascii="Cambria" w:hAnsi="Cambria" w:cs="TimesNewRomanPSMT"/>
          <w:sz w:val="24"/>
          <w:szCs w:val="24"/>
          <w14:ligatures w14:val="standardContextual"/>
        </w:rPr>
        <w:t xml:space="preserve">Semelhantemente, aduz Marçal </w:t>
      </w:r>
      <w:proofErr w:type="spellStart"/>
      <w:r w:rsidRPr="00D108CE">
        <w:rPr>
          <w:rFonts w:ascii="Cambria" w:hAnsi="Cambria" w:cs="TimesNewRomanPSMT"/>
          <w:sz w:val="24"/>
          <w:szCs w:val="24"/>
          <w14:ligatures w14:val="standardContextual"/>
        </w:rPr>
        <w:t>Justen</w:t>
      </w:r>
      <w:proofErr w:type="spellEnd"/>
      <w:r w:rsidRPr="00D108CE">
        <w:rPr>
          <w:rFonts w:ascii="Cambria" w:hAnsi="Cambria" w:cs="TimesNewRomanPSMT"/>
          <w:sz w:val="24"/>
          <w:szCs w:val="24"/>
          <w14:ligatures w14:val="standardContextual"/>
        </w:rPr>
        <w:t xml:space="preserve"> Filho que a inviabilidade de competição é um conceito complexo que pode decorrer de fatores diversos, inclusive da ausência de critérios objetivos para seleção do objeto, </w:t>
      </w:r>
      <w:r w:rsidRPr="00D108CE">
        <w:rPr>
          <w:rFonts w:ascii="Cambria" w:hAnsi="Cambria" w:cs="TimesNewRomanPS-ItalicMT"/>
          <w:i/>
          <w:iCs/>
          <w:sz w:val="24"/>
          <w:szCs w:val="24"/>
          <w14:ligatures w14:val="standardContextual"/>
        </w:rPr>
        <w:t xml:space="preserve">in </w:t>
      </w:r>
      <w:proofErr w:type="spellStart"/>
      <w:r w:rsidRPr="00D108CE">
        <w:rPr>
          <w:rFonts w:ascii="Cambria" w:hAnsi="Cambria" w:cs="TimesNewRomanPS-ItalicMT"/>
          <w:i/>
          <w:iCs/>
          <w:sz w:val="24"/>
          <w:szCs w:val="24"/>
          <w14:ligatures w14:val="standardContextual"/>
        </w:rPr>
        <w:t>verbis</w:t>
      </w:r>
      <w:proofErr w:type="spellEnd"/>
      <w:r w:rsidRPr="00D108CE">
        <w:rPr>
          <w:rFonts w:ascii="Cambria" w:hAnsi="Cambria" w:cs="TimesNewRomanPS-ItalicMT"/>
          <w:i/>
          <w:iCs/>
          <w:sz w:val="24"/>
          <w:szCs w:val="24"/>
          <w14:ligatures w14:val="standardContextual"/>
        </w:rPr>
        <w:t>:</w:t>
      </w:r>
    </w:p>
    <w:p w14:paraId="561B83BD" w14:textId="77777777" w:rsidR="00FD0ED1" w:rsidRPr="00D108CE" w:rsidRDefault="00FD0ED1" w:rsidP="00D35CBE">
      <w:pPr>
        <w:ind w:firstLine="1418"/>
        <w:jc w:val="both"/>
        <w:rPr>
          <w:rFonts w:ascii="Cambria" w:hAnsi="Cambria" w:cs="Arial"/>
          <w:sz w:val="24"/>
          <w:szCs w:val="24"/>
        </w:rPr>
      </w:pPr>
    </w:p>
    <w:p w14:paraId="0EEB2279" w14:textId="77777777" w:rsidR="005112C4" w:rsidRPr="00D108CE" w:rsidRDefault="005112C4" w:rsidP="005112C4">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w:t>
      </w:r>
    </w:p>
    <w:p w14:paraId="6D96454F" w14:textId="77777777" w:rsidR="005112C4" w:rsidRPr="00D108CE" w:rsidRDefault="005112C4" w:rsidP="005112C4">
      <w:pPr>
        <w:autoSpaceDE w:val="0"/>
        <w:autoSpaceDN w:val="0"/>
        <w:adjustRightInd w:val="0"/>
        <w:spacing w:after="0" w:line="240" w:lineRule="auto"/>
        <w:ind w:left="2835"/>
        <w:jc w:val="both"/>
        <w:rPr>
          <w:rFonts w:ascii="Cambria" w:hAnsi="Cambria" w:cs="TimesNewRomanPS-BoldMT"/>
          <w:b/>
          <w:bCs/>
          <w:sz w:val="20"/>
          <w:szCs w:val="20"/>
          <w14:ligatures w14:val="standardContextual"/>
        </w:rPr>
      </w:pPr>
      <w:r w:rsidRPr="00D108CE">
        <w:rPr>
          <w:rFonts w:ascii="Cambria" w:hAnsi="Cambria" w:cs="TimesNewRomanPS-BoldMT"/>
          <w:b/>
          <w:bCs/>
          <w:sz w:val="20"/>
          <w:szCs w:val="20"/>
          <w14:ligatures w14:val="standardContextual"/>
        </w:rPr>
        <w:t>1.3) "Inviabilidade de competição" como uma decorrência</w:t>
      </w:r>
    </w:p>
    <w:p w14:paraId="23EA53DB" w14:textId="36349E54" w:rsidR="005112C4" w:rsidRPr="00D108CE" w:rsidRDefault="005112C4" w:rsidP="005112C4">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É imperioso destacar que a inviabilidade de competição não é um conceito simples, que corresponda a uma ideia única. Trata-se de um gênero, comportando diferentes modalidades. Mais precisamente, a inviabilidade de competição é uma consequência, que pode ser produzida por diferentes causas, as quais consistem nas diversas hipóteses de ausência de pressupostos necessários à licitação.</w:t>
      </w:r>
    </w:p>
    <w:p w14:paraId="6F9FB5EC" w14:textId="77777777" w:rsidR="005112C4" w:rsidRPr="00D108CE" w:rsidRDefault="005112C4" w:rsidP="005112C4">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w:t>
      </w:r>
    </w:p>
    <w:p w14:paraId="5D1315DE" w14:textId="77777777" w:rsidR="005112C4" w:rsidRPr="00D108CE" w:rsidRDefault="005112C4" w:rsidP="005112C4">
      <w:pPr>
        <w:autoSpaceDE w:val="0"/>
        <w:autoSpaceDN w:val="0"/>
        <w:adjustRightInd w:val="0"/>
        <w:spacing w:after="0" w:line="240" w:lineRule="auto"/>
        <w:ind w:left="2835"/>
        <w:jc w:val="both"/>
        <w:rPr>
          <w:rFonts w:ascii="Cambria" w:hAnsi="Cambria" w:cs="TimesNewRomanPS-BoldMT"/>
          <w:b/>
          <w:bCs/>
          <w:sz w:val="20"/>
          <w:szCs w:val="20"/>
          <w14:ligatures w14:val="standardContextual"/>
        </w:rPr>
      </w:pPr>
      <w:r w:rsidRPr="00D108CE">
        <w:rPr>
          <w:rFonts w:ascii="Cambria" w:hAnsi="Cambria" w:cs="TimesNewRomanPS-BoldMT"/>
          <w:b/>
          <w:bCs/>
          <w:sz w:val="20"/>
          <w:szCs w:val="20"/>
          <w14:ligatures w14:val="standardContextual"/>
        </w:rPr>
        <w:t>3) Ausência de pressupostos necessários à licitação</w:t>
      </w:r>
    </w:p>
    <w:p w14:paraId="403ADEA8" w14:textId="77777777" w:rsidR="005112C4" w:rsidRPr="00D108CE" w:rsidRDefault="005112C4" w:rsidP="005112C4">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w:t>
      </w:r>
    </w:p>
    <w:p w14:paraId="2D7CBA49" w14:textId="77777777" w:rsidR="005112C4" w:rsidRPr="00D108CE" w:rsidRDefault="005112C4" w:rsidP="005112C4">
      <w:pPr>
        <w:autoSpaceDE w:val="0"/>
        <w:autoSpaceDN w:val="0"/>
        <w:adjustRightInd w:val="0"/>
        <w:spacing w:after="0" w:line="240" w:lineRule="auto"/>
        <w:ind w:left="2835"/>
        <w:jc w:val="both"/>
        <w:rPr>
          <w:rFonts w:ascii="Cambria" w:hAnsi="Cambria" w:cs="TimesNewRomanPS-BoldMT"/>
          <w:b/>
          <w:bCs/>
          <w:sz w:val="20"/>
          <w:szCs w:val="20"/>
          <w14:ligatures w14:val="standardContextual"/>
        </w:rPr>
      </w:pPr>
      <w:r w:rsidRPr="00D108CE">
        <w:rPr>
          <w:rFonts w:ascii="Cambria" w:hAnsi="Cambria" w:cs="TimesNewRomanPS-BoldMT"/>
          <w:b/>
          <w:bCs/>
          <w:sz w:val="20"/>
          <w:szCs w:val="20"/>
          <w14:ligatures w14:val="standardContextual"/>
        </w:rPr>
        <w:t>3.3) Ausência de objetividade na seleção do objeto</w:t>
      </w:r>
    </w:p>
    <w:p w14:paraId="5ED3E840" w14:textId="726FED88" w:rsidR="005112C4" w:rsidRPr="00D108CE" w:rsidRDefault="005112C4" w:rsidP="005112C4">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A hipótese imediatamente considerada acima também se caracteriza, como regra, pela impossibilidade de seleção segundo critérios objetivos. Existem diferentes alternativas, mas a natureza personalíssima da atuação do particular impede julgamento objetivo. É</w:t>
      </w:r>
    </w:p>
    <w:p w14:paraId="7CD275AB" w14:textId="5C12B50B" w:rsidR="005112C4" w:rsidRPr="00D108CE" w:rsidRDefault="005112C4" w:rsidP="005112C4">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impossível definir com precisão uma relação custo-benefício. Ainda que seja possível determinar o custo, os benefícios que serão usufruídos pela Administração são relativamente imponderáveis.</w:t>
      </w:r>
    </w:p>
    <w:p w14:paraId="40F03483" w14:textId="7A2F5488" w:rsidR="00FD0ED1" w:rsidRPr="00D108CE" w:rsidRDefault="005112C4" w:rsidP="005112C4">
      <w:pPr>
        <w:autoSpaceDE w:val="0"/>
        <w:autoSpaceDN w:val="0"/>
        <w:adjustRightInd w:val="0"/>
        <w:spacing w:after="0" w:line="240" w:lineRule="auto"/>
        <w:ind w:left="2835"/>
        <w:jc w:val="both"/>
        <w:rPr>
          <w:rFonts w:ascii="Cambria" w:hAnsi="Cambria" w:cs="Arial"/>
          <w:sz w:val="24"/>
          <w:szCs w:val="24"/>
        </w:rPr>
      </w:pPr>
      <w:r w:rsidRPr="00D108CE">
        <w:rPr>
          <w:rFonts w:ascii="Cambria" w:hAnsi="Cambria" w:cs="TimesNewRomanPSMT"/>
          <w:sz w:val="20"/>
          <w:szCs w:val="20"/>
          <w14:ligatures w14:val="standardContextual"/>
        </w:rPr>
        <w:t>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5EE03B45" w14:textId="77777777" w:rsidR="00B62F27" w:rsidRPr="00D108CE" w:rsidRDefault="00B62F27" w:rsidP="005112C4">
      <w:pPr>
        <w:ind w:left="2835"/>
        <w:jc w:val="both"/>
        <w:rPr>
          <w:rFonts w:ascii="Cambria" w:hAnsi="Cambria" w:cs="Arial"/>
          <w:sz w:val="24"/>
          <w:szCs w:val="24"/>
        </w:rPr>
      </w:pPr>
    </w:p>
    <w:p w14:paraId="74D77C3D" w14:textId="430C6DE6" w:rsidR="00B62F27" w:rsidRPr="00D108CE" w:rsidRDefault="00B62F27" w:rsidP="00B62F27">
      <w:pPr>
        <w:autoSpaceDE w:val="0"/>
        <w:autoSpaceDN w:val="0"/>
        <w:adjustRightInd w:val="0"/>
        <w:spacing w:after="0" w:line="240" w:lineRule="auto"/>
        <w:ind w:firstLine="1560"/>
        <w:jc w:val="both"/>
        <w:rPr>
          <w:rFonts w:ascii="Cambria" w:hAnsi="Cambria" w:cs="Arial"/>
          <w:sz w:val="24"/>
          <w:szCs w:val="24"/>
        </w:rPr>
      </w:pPr>
      <w:r w:rsidRPr="00D108CE">
        <w:rPr>
          <w:rFonts w:ascii="Cambria" w:hAnsi="Cambria" w:cs="TimesNewRomanPSMT"/>
          <w:sz w:val="24"/>
          <w:szCs w:val="24"/>
          <w14:ligatures w14:val="standardContextual"/>
        </w:rPr>
        <w:t xml:space="preserve">Nessa ordem de ideias, observa-se que a hipótese de inexigibilidade prevista no art. 74, inciso III, alínea “f”, da Lei n. 14.133/2021 decorre justamente da ausência de parâmetros objetivos para a seleção do objeto. Conforme já mencionado, os requisitos exigidos pela norma são: inviabilidade (relativa) de </w:t>
      </w:r>
      <w:r w:rsidRPr="00D108CE">
        <w:rPr>
          <w:rFonts w:ascii="Cambria" w:hAnsi="Cambria" w:cs="TimesNewRomanPSMT"/>
          <w:sz w:val="24"/>
          <w:szCs w:val="24"/>
          <w14:ligatures w14:val="standardContextual"/>
        </w:rPr>
        <w:lastRenderedPageBreak/>
        <w:t>competição; contratação de serviços técnicos especializados de natureza predominantemente intelectual com profissionais ou empresas de notória especialização; não se tratar de serviços de publicidade ou divulgação; contratação que envolva treinamento e aperfeiçoamento de pessoal.</w:t>
      </w:r>
    </w:p>
    <w:p w14:paraId="21EE9DD7" w14:textId="66EB7F3D" w:rsidR="00FD0ED1" w:rsidRPr="00D108CE" w:rsidRDefault="00A75EC5" w:rsidP="00A75EC5">
      <w:pPr>
        <w:autoSpaceDE w:val="0"/>
        <w:autoSpaceDN w:val="0"/>
        <w:adjustRightInd w:val="0"/>
        <w:spacing w:after="0" w:line="240" w:lineRule="auto"/>
        <w:ind w:firstLine="1560"/>
        <w:jc w:val="both"/>
        <w:rPr>
          <w:rFonts w:ascii="Cambria" w:hAnsi="Cambria" w:cs="Arial"/>
          <w:sz w:val="24"/>
          <w:szCs w:val="24"/>
        </w:rPr>
      </w:pPr>
      <w:r w:rsidRPr="00D108CE">
        <w:rPr>
          <w:rFonts w:ascii="Cambria" w:hAnsi="Cambria" w:cs="TimesNewRomanPSMT"/>
          <w:sz w:val="24"/>
          <w:szCs w:val="24"/>
          <w14:ligatures w14:val="standardContextual"/>
        </w:rPr>
        <w:t>Ressalta-se que a própria Lei n. 14.133/2021 já estabelece que os serviços de treinamento e aperfeiçoamento de pessoal são considerados serviços técnicos especializados de natureza predominantemente intelectual (art. 6º, XVIII, "f") e que a notória especialização é a "qualidade de profissional ou de empresa cujo conceito, no campo de sua especialidade, decorrente de desempenho anterior, estudos, experiência, publicações, organização, aparelhamento, equipe técnica ou outros requisitos relacionados com suas atividades, permite inferir que o seu trabalho é essencial e reconhecidamente adequado à plena satisfação do objeto do contrato" (art. 6º, XIX, e art. 74, § 3º, da Lei n. 14.133/2021).</w:t>
      </w:r>
    </w:p>
    <w:p w14:paraId="1717441D" w14:textId="7448AE74" w:rsidR="00FD0ED1" w:rsidRPr="00D108CE" w:rsidRDefault="006374F7" w:rsidP="006374F7">
      <w:pPr>
        <w:autoSpaceDE w:val="0"/>
        <w:autoSpaceDN w:val="0"/>
        <w:adjustRightInd w:val="0"/>
        <w:spacing w:after="0" w:line="240" w:lineRule="auto"/>
        <w:ind w:firstLine="1701"/>
        <w:jc w:val="both"/>
        <w:rPr>
          <w:rFonts w:ascii="Cambria" w:hAnsi="Cambria" w:cs="TimesNewRomanPSMT"/>
          <w:sz w:val="24"/>
          <w:szCs w:val="24"/>
          <w14:ligatures w14:val="standardContextual"/>
        </w:rPr>
      </w:pPr>
      <w:r w:rsidRPr="00D108CE">
        <w:rPr>
          <w:rFonts w:ascii="Cambria" w:hAnsi="Cambria" w:cs="TimesNewRomanPSMT"/>
          <w:sz w:val="24"/>
          <w:szCs w:val="24"/>
          <w14:ligatures w14:val="standardContextual"/>
        </w:rPr>
        <w:t xml:space="preserve">Ainda de acordo com as lições de Marçal </w:t>
      </w:r>
      <w:proofErr w:type="spellStart"/>
      <w:r w:rsidRPr="00D108CE">
        <w:rPr>
          <w:rFonts w:ascii="Cambria" w:hAnsi="Cambria" w:cs="TimesNewRomanPSMT"/>
          <w:sz w:val="24"/>
          <w:szCs w:val="24"/>
          <w14:ligatures w14:val="standardContextual"/>
        </w:rPr>
        <w:t>Justen</w:t>
      </w:r>
      <w:proofErr w:type="spellEnd"/>
      <w:r w:rsidRPr="00D108CE">
        <w:rPr>
          <w:rFonts w:ascii="Cambria" w:hAnsi="Cambria" w:cs="TimesNewRomanPSMT"/>
          <w:sz w:val="24"/>
          <w:szCs w:val="24"/>
          <w14:ligatures w14:val="standardContextual"/>
        </w:rPr>
        <w:t xml:space="preserve"> Filho, a notória especialização diz respeito à comprovação de que o serviço a ser prestado pelo particular é essencial e reconhecidamente adequado à plena satisfação do interesse público.</w:t>
      </w:r>
    </w:p>
    <w:p w14:paraId="5839F681" w14:textId="4F3C56E8" w:rsidR="006374F7" w:rsidRPr="00D108CE" w:rsidRDefault="006374F7" w:rsidP="009866E8">
      <w:pPr>
        <w:autoSpaceDE w:val="0"/>
        <w:autoSpaceDN w:val="0"/>
        <w:adjustRightInd w:val="0"/>
        <w:spacing w:after="0" w:line="240" w:lineRule="auto"/>
        <w:ind w:firstLine="1701"/>
        <w:jc w:val="both"/>
        <w:rPr>
          <w:rFonts w:ascii="Cambria" w:hAnsi="Cambria" w:cs="TimesNewRomanPSMT"/>
          <w:sz w:val="24"/>
          <w:szCs w:val="24"/>
          <w14:ligatures w14:val="standardContextual"/>
        </w:rPr>
      </w:pPr>
      <w:r w:rsidRPr="00D108CE">
        <w:rPr>
          <w:rFonts w:ascii="Cambria" w:hAnsi="Cambria" w:cs="TimesNewRomanPSMT"/>
          <w:sz w:val="24"/>
          <w:szCs w:val="24"/>
          <w14:ligatures w14:val="standardContextual"/>
        </w:rPr>
        <w:t>De se ver, a notória especialização da futura contratada se encontra devidamente demonstrada nos autos, conforme se depreende dos seguintes trechos da Informação SEEDUC (item XIII do relatório):</w:t>
      </w:r>
    </w:p>
    <w:p w14:paraId="20A646EE" w14:textId="77777777" w:rsidR="00D97CB9" w:rsidRPr="00D108CE" w:rsidRDefault="00D97CB9" w:rsidP="00D97CB9">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w:t>
      </w:r>
    </w:p>
    <w:p w14:paraId="6BDC8880" w14:textId="57B1BCE3" w:rsidR="00D97CB9" w:rsidRPr="00D108CE" w:rsidRDefault="00D97CB9" w:rsidP="00D97CB9">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9. Com relação à contratação de treinamentos, a Lei n. 14.133, de 1º de abril de 2021, por meio do art. 74, III, f, estabelece que é viável a adoção de inexigibilidade de licitação, desde que caracterizada a notória especialização da empresa ou do profissional a ser contratado:</w:t>
      </w:r>
    </w:p>
    <w:p w14:paraId="066D8D31" w14:textId="77777777" w:rsidR="00D97CB9" w:rsidRPr="00D108CE" w:rsidRDefault="00D97CB9" w:rsidP="00D97CB9">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"Art. 74. É inexigível a licitação quando inviável a competição, em especial nos casos de:</w:t>
      </w:r>
    </w:p>
    <w:p w14:paraId="33CE397D" w14:textId="77777777" w:rsidR="00D97CB9" w:rsidRPr="00D108CE" w:rsidRDefault="00D97CB9" w:rsidP="00D97CB9">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w:t>
      </w:r>
    </w:p>
    <w:p w14:paraId="52684E8F" w14:textId="667D6D0E" w:rsidR="00D97CB9" w:rsidRPr="00D108CE" w:rsidRDefault="00D97CB9" w:rsidP="00D97CB9">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III - contratação dos seguintes serviços técnicos especializados de natureza predominantemente intelectual com profissionais ou empresas de notória especialização, vedada a inexigibilidade para serviços de publicidade e divulgação:</w:t>
      </w:r>
    </w:p>
    <w:p w14:paraId="069AA8CE" w14:textId="77777777" w:rsidR="00D97CB9" w:rsidRPr="00D108CE" w:rsidRDefault="00D97CB9" w:rsidP="00D97CB9">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w:t>
      </w:r>
    </w:p>
    <w:p w14:paraId="764AAD0A" w14:textId="77777777" w:rsidR="00D97CB9" w:rsidRPr="00D108CE" w:rsidRDefault="00D97CB9" w:rsidP="00D97CB9">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f) treinamento e aperfeiçoamento de pessoal;</w:t>
      </w:r>
    </w:p>
    <w:p w14:paraId="29DD6068" w14:textId="77777777" w:rsidR="00D97CB9" w:rsidRPr="00D108CE" w:rsidRDefault="00D97CB9" w:rsidP="00D97CB9">
      <w:pPr>
        <w:autoSpaceDE w:val="0"/>
        <w:autoSpaceDN w:val="0"/>
        <w:adjustRightInd w:val="0"/>
        <w:spacing w:after="0" w:line="240" w:lineRule="auto"/>
        <w:ind w:left="2835"/>
        <w:jc w:val="both"/>
        <w:rPr>
          <w:rFonts w:ascii="Cambria" w:hAnsi="Cambria" w:cs="TimesNewRomanPSMT"/>
          <w:sz w:val="20"/>
          <w:szCs w:val="20"/>
          <w14:ligatures w14:val="standardContextual"/>
        </w:rPr>
      </w:pPr>
      <w:r w:rsidRPr="00D108CE">
        <w:rPr>
          <w:rFonts w:ascii="Cambria" w:hAnsi="Cambria" w:cs="TimesNewRomanPSMT"/>
          <w:sz w:val="20"/>
          <w:szCs w:val="20"/>
          <w14:ligatures w14:val="standardContextual"/>
        </w:rPr>
        <w:t>(...)</w:t>
      </w:r>
    </w:p>
    <w:p w14:paraId="66C15E59" w14:textId="48CA96F9" w:rsidR="00FD0ED1" w:rsidRPr="00D108CE" w:rsidRDefault="00D97CB9" w:rsidP="00D97CB9">
      <w:pPr>
        <w:autoSpaceDE w:val="0"/>
        <w:autoSpaceDN w:val="0"/>
        <w:adjustRightInd w:val="0"/>
        <w:spacing w:after="0" w:line="240" w:lineRule="auto"/>
        <w:ind w:left="2835"/>
        <w:jc w:val="both"/>
        <w:rPr>
          <w:rFonts w:ascii="Cambria" w:hAnsi="Cambria" w:cs="Arial"/>
          <w:sz w:val="24"/>
          <w:szCs w:val="24"/>
        </w:rPr>
      </w:pPr>
      <w:r w:rsidRPr="00D108CE">
        <w:rPr>
          <w:rFonts w:ascii="Cambria" w:hAnsi="Cambria" w:cs="TimesNewRomanPSMT"/>
          <w:sz w:val="20"/>
          <w:szCs w:val="20"/>
          <w14:ligatures w14:val="standardContextual"/>
        </w:rPr>
        <w:t>§ 3º Para fins do disposto no inciso III do caput deste artigo, considera-se de notória especialização o profissional ou a empresa cujo conceito no campo de sua especialidade, decorrente de desempenho anterior, estudos, experiência, publicações, organização, aparelhamento, equipe técnica ou outros requisitos relacionados com suas atividades, permita inferir que o seu trabalho é essencial e reconhecidamente adequado à plena satisfação do objeto do contrato."</w:t>
      </w:r>
    </w:p>
    <w:p w14:paraId="6917E5D8" w14:textId="77777777" w:rsidR="00FD0ED1" w:rsidRPr="00D108CE" w:rsidRDefault="00FD0ED1" w:rsidP="00D97CB9">
      <w:pPr>
        <w:ind w:left="2835" w:firstLine="1418"/>
        <w:jc w:val="both"/>
        <w:rPr>
          <w:rFonts w:ascii="Cambria" w:hAnsi="Cambria" w:cs="Arial"/>
          <w:sz w:val="24"/>
          <w:szCs w:val="24"/>
        </w:rPr>
      </w:pPr>
    </w:p>
    <w:p w14:paraId="3672AD4D" w14:textId="14944BE5" w:rsidR="00FD0ED1" w:rsidRPr="00D108CE" w:rsidRDefault="00954E3D" w:rsidP="009866E8">
      <w:pPr>
        <w:autoSpaceDE w:val="0"/>
        <w:autoSpaceDN w:val="0"/>
        <w:adjustRightInd w:val="0"/>
        <w:spacing w:after="0" w:line="240" w:lineRule="auto"/>
        <w:ind w:firstLine="1701"/>
        <w:jc w:val="both"/>
        <w:rPr>
          <w:rFonts w:ascii="Cambria" w:hAnsi="Cambria" w:cs="Arial"/>
          <w:sz w:val="24"/>
          <w:szCs w:val="24"/>
        </w:rPr>
      </w:pPr>
      <w:r w:rsidRPr="00D108CE">
        <w:rPr>
          <w:rFonts w:ascii="Cambria" w:hAnsi="Cambria" w:cs="TimesNewRomanPSMT"/>
          <w:sz w:val="20"/>
          <w:szCs w:val="20"/>
          <w14:ligatures w14:val="standardContextual"/>
        </w:rPr>
        <w:t xml:space="preserve">Assim, sendo </w:t>
      </w:r>
      <w:proofErr w:type="spellStart"/>
      <w:r w:rsidRPr="00D108CE">
        <w:rPr>
          <w:rFonts w:ascii="Cambria" w:hAnsi="Cambria" w:cs="TimesNewRomanPSMT"/>
          <w:sz w:val="20"/>
          <w:szCs w:val="20"/>
          <w14:ligatures w14:val="standardContextual"/>
        </w:rPr>
        <w:t>esta</w:t>
      </w:r>
      <w:proofErr w:type="spellEnd"/>
      <w:r w:rsidRPr="00D108CE">
        <w:rPr>
          <w:rFonts w:ascii="Cambria" w:hAnsi="Cambria" w:cs="TimesNewRomanPSMT"/>
          <w:sz w:val="20"/>
          <w:szCs w:val="20"/>
          <w14:ligatures w14:val="standardContextual"/>
        </w:rPr>
        <w:t xml:space="preserve"> a hipótese dos autos, esta Seção entende, </w:t>
      </w:r>
      <w:proofErr w:type="spellStart"/>
      <w:r w:rsidRPr="00D108CE">
        <w:rPr>
          <w:rFonts w:ascii="Cambria" w:hAnsi="Cambria" w:cs="TimesNewRomanPSMT"/>
          <w:sz w:val="20"/>
          <w:szCs w:val="20"/>
          <w14:ligatures w14:val="standardContextual"/>
        </w:rPr>
        <w:t>s.m.j</w:t>
      </w:r>
      <w:proofErr w:type="spellEnd"/>
      <w:r w:rsidRPr="00D108CE">
        <w:rPr>
          <w:rFonts w:ascii="Cambria" w:hAnsi="Cambria" w:cs="TimesNewRomanPSMT"/>
          <w:sz w:val="20"/>
          <w:szCs w:val="20"/>
          <w14:ligatures w14:val="standardContextual"/>
        </w:rPr>
        <w:t xml:space="preserve">, que a CEPLAME atende ao requisito de notória especialização. Conforme consta do id. 0445688, trata-se de uma </w:t>
      </w:r>
      <w:r w:rsidRPr="00D108CE">
        <w:rPr>
          <w:rFonts w:ascii="Cambria" w:hAnsi="Cambria" w:cs="TimesNewRomanPSMT"/>
          <w:sz w:val="20"/>
          <w:szCs w:val="20"/>
          <w14:ligatures w14:val="standardContextual"/>
        </w:rPr>
        <w:lastRenderedPageBreak/>
        <w:t>empresa voltada para área de ensino desde 2011, possui como finalidade a capacitação, valorização, crescimento e treinamento profissional para a melhoria da gestão nas organizações públicas e privadas. Ademais, atua em diversas localidades do país primando pela melhoria da eficiência e eficácia dos serviços públicos e privados, por meio do desenvolvimento permanente dos talentos humanos e a adequação das competências requeridas aos objetivos das instituições e selecionando, para isso, profissionais reconhecidos no mercado.</w:t>
      </w:r>
    </w:p>
    <w:p w14:paraId="0ABCB46F" w14:textId="71A77B33" w:rsidR="00FD0ED1" w:rsidRPr="00D108CE" w:rsidRDefault="009866E8" w:rsidP="009866E8">
      <w:pPr>
        <w:autoSpaceDE w:val="0"/>
        <w:autoSpaceDN w:val="0"/>
        <w:adjustRightInd w:val="0"/>
        <w:spacing w:after="0" w:line="240" w:lineRule="auto"/>
        <w:ind w:firstLine="1701"/>
        <w:jc w:val="both"/>
        <w:rPr>
          <w:rFonts w:ascii="Cambria" w:hAnsi="Cambria" w:cs="Arial"/>
          <w:sz w:val="24"/>
          <w:szCs w:val="24"/>
        </w:rPr>
      </w:pPr>
      <w:r w:rsidRPr="00D108CE">
        <w:rPr>
          <w:rFonts w:ascii="Cambria" w:hAnsi="Cambria" w:cs="TimesNewRomanPSMT"/>
          <w:sz w:val="24"/>
          <w:szCs w:val="24"/>
          <w14:ligatures w14:val="standardContextual"/>
        </w:rPr>
        <w:t>Cabe esclarecer que a Nova Lei de Licitações e Contratos Administrativos (Lei n. 14.133/2021), ao contrário do que prevê a Lei n. 8.666/1993 (art. 25, II), suprimiu a exigência de comprovação da singularidade dos serviços para caracterização da inexigibilidade. Entretanto, instalou-se certa controvérsia doutrinária acerca do tema, levando-se em consideração o entendimento exarado pelo Tribunal de Contas da União no Acórdão n. 2.761/2020-Plenário, no qual se decidiu, em caso equivalente de inexigibilidade para as empresas estatais - inciso II artigo 30 da Lei n. 13.303/2016 -, que o requisito da singularidade dos serviços subsiste.</w:t>
      </w:r>
    </w:p>
    <w:p w14:paraId="59BB47F0" w14:textId="3CA329C8" w:rsidR="00FD0ED1" w:rsidRPr="00D108CE" w:rsidRDefault="00A94141" w:rsidP="00A94141">
      <w:pPr>
        <w:autoSpaceDE w:val="0"/>
        <w:autoSpaceDN w:val="0"/>
        <w:adjustRightInd w:val="0"/>
        <w:spacing w:after="0" w:line="240" w:lineRule="auto"/>
        <w:ind w:firstLine="1701"/>
        <w:jc w:val="both"/>
        <w:rPr>
          <w:rFonts w:ascii="Cambria" w:hAnsi="Cambria" w:cs="Arial"/>
          <w:sz w:val="24"/>
          <w:szCs w:val="24"/>
        </w:rPr>
      </w:pPr>
      <w:r w:rsidRPr="00D108CE">
        <w:rPr>
          <w:rFonts w:ascii="Cambria" w:hAnsi="Cambria" w:cs="TimesNewRomanPSMT"/>
          <w:sz w:val="24"/>
          <w:szCs w:val="24"/>
          <w14:ligatures w14:val="standardContextual"/>
        </w:rPr>
        <w:t xml:space="preserve">De qualquer modo, a despeito da controvérsia, ao avaliar as justificativas indicadas pela unidade requisitante, verifica-se que a escolha do objeto perpassa critérios subjetivos, que não são passíveis de mensuração em eventual processo licitatório, o que justifica a contratação por inexigibilidade de licitação, consoante enunciado de súmula n. 39 do Tribunal de Contas da União: </w:t>
      </w:r>
      <w:r w:rsidRPr="00D108CE">
        <w:rPr>
          <w:rFonts w:ascii="Cambria" w:hAnsi="Cambria" w:cs="TimesNewRomanPS-ItalicMT"/>
          <w:i/>
          <w:iCs/>
          <w:sz w:val="24"/>
          <w:szCs w:val="24"/>
          <w14:ligatures w14:val="standardContextual"/>
        </w:rPr>
        <w:t>A inexigibilidade de licitação para a contratação de serviços técnicos com pessoas físicas ou jurídicas de notória especialização somente é cabível quando se tratar de serviço de natureza singular, capaz de exigir, na seleção do executor de confiança, grau de subjetividade insuscetível de ser medido pelos critérios objetivos de qualificação inerentes ao processo de licitação, nos termos do art. 25, inciso II, da Lei</w:t>
      </w:r>
    </w:p>
    <w:p w14:paraId="6CF4B6D0" w14:textId="2EB1AE66" w:rsidR="00FD0ED1" w:rsidRPr="00D108CE" w:rsidRDefault="00270296" w:rsidP="00270296">
      <w:pPr>
        <w:autoSpaceDE w:val="0"/>
        <w:autoSpaceDN w:val="0"/>
        <w:adjustRightInd w:val="0"/>
        <w:spacing w:after="0" w:line="240" w:lineRule="auto"/>
        <w:ind w:firstLine="1701"/>
        <w:jc w:val="both"/>
        <w:rPr>
          <w:rFonts w:ascii="Cambria" w:hAnsi="Cambria" w:cs="Arial"/>
          <w:sz w:val="24"/>
          <w:szCs w:val="24"/>
        </w:rPr>
      </w:pPr>
      <w:r w:rsidRPr="00D108CE">
        <w:rPr>
          <w:rFonts w:ascii="Cambria" w:hAnsi="Cambria" w:cs="TimesNewRomanPSMT"/>
          <w:sz w:val="24"/>
          <w:szCs w:val="24"/>
          <w14:ligatures w14:val="standardContextual"/>
        </w:rPr>
        <w:t xml:space="preserve">Por oportuno, registra-se que o Tribunal de Contas da União já se posicionou favorável à inexigibilidade de licitação para a inscrição de servidores em participação de cursos abertos a terceiros, conforme se observa no trecho da Decisão n. 439/1998 – Plenário: </w:t>
      </w:r>
      <w:r w:rsidRPr="00D108CE">
        <w:rPr>
          <w:rFonts w:ascii="Cambria" w:hAnsi="Cambria" w:cs="TimesNewRomanPS-ItalicMT"/>
          <w:i/>
          <w:iCs/>
          <w:sz w:val="24"/>
          <w:szCs w:val="24"/>
          <w14:ligatures w14:val="standardContextual"/>
        </w:rPr>
        <w:t>Considere que as contratações de professores, conferencistas ou instrutores para ministrar cursos de treinamento ou aperfeiçoamento de pessoal, bem assim a inscrição de servidores para participação de cursos abertos a terceiros, enquadram-se na hipótese de inexigibilidade de licitação prevista no inciso II do art. 25, combinado com o inciso VI do art. 13 da Lei no 8.666/1993.</w:t>
      </w:r>
    </w:p>
    <w:p w14:paraId="0860C9C5" w14:textId="0C97E2D3" w:rsidR="00FD0ED1" w:rsidRPr="00D108CE" w:rsidRDefault="0083784A" w:rsidP="0083784A">
      <w:pPr>
        <w:autoSpaceDE w:val="0"/>
        <w:autoSpaceDN w:val="0"/>
        <w:adjustRightInd w:val="0"/>
        <w:spacing w:after="0" w:line="240" w:lineRule="auto"/>
        <w:ind w:firstLine="1701"/>
        <w:jc w:val="both"/>
        <w:rPr>
          <w:rFonts w:ascii="Cambria" w:hAnsi="Cambria" w:cs="TimesNewRomanPSMT"/>
          <w:sz w:val="24"/>
          <w:szCs w:val="24"/>
          <w14:ligatures w14:val="standardContextual"/>
        </w:rPr>
      </w:pPr>
      <w:r w:rsidRPr="00D108CE">
        <w:rPr>
          <w:rFonts w:ascii="Cambria" w:hAnsi="Cambria" w:cs="TimesNewRomanPSMT"/>
          <w:sz w:val="24"/>
          <w:szCs w:val="24"/>
          <w14:ligatures w14:val="standardContextual"/>
        </w:rPr>
        <w:t>Por todo o exposto, constata-se que a contratação da aludida empresa atende aos requisitos exigidos pela legislação.</w:t>
      </w:r>
    </w:p>
    <w:p w14:paraId="6E9F3D85" w14:textId="77777777" w:rsidR="00B05A1C" w:rsidRPr="00D108CE" w:rsidRDefault="00B05A1C" w:rsidP="0083784A">
      <w:pPr>
        <w:autoSpaceDE w:val="0"/>
        <w:autoSpaceDN w:val="0"/>
        <w:adjustRightInd w:val="0"/>
        <w:spacing w:after="0" w:line="240" w:lineRule="auto"/>
        <w:ind w:firstLine="1701"/>
        <w:jc w:val="both"/>
        <w:rPr>
          <w:rFonts w:ascii="Cambria" w:hAnsi="Cambria" w:cs="Arial"/>
          <w:sz w:val="24"/>
          <w:szCs w:val="24"/>
        </w:rPr>
      </w:pPr>
    </w:p>
    <w:p w14:paraId="47305E6D" w14:textId="5051772A" w:rsidR="00B05A1C" w:rsidRPr="00D108CE" w:rsidRDefault="004F4599" w:rsidP="00D35CBE">
      <w:pPr>
        <w:ind w:firstLine="1418"/>
        <w:jc w:val="both"/>
        <w:rPr>
          <w:rFonts w:ascii="Cambria" w:hAnsi="Cambria" w:cs="TimesNewRomanPS-BoldMT"/>
          <w:b/>
          <w:bCs/>
          <w:sz w:val="24"/>
          <w:szCs w:val="24"/>
          <w14:ligatures w14:val="standardContextual"/>
        </w:rPr>
      </w:pPr>
      <w:r w:rsidRPr="00D108CE">
        <w:rPr>
          <w:rFonts w:ascii="Cambria" w:hAnsi="Cambria" w:cs="TimesNewRomanPS-BoldMT"/>
          <w:b/>
          <w:bCs/>
          <w:sz w:val="24"/>
          <w:szCs w:val="24"/>
          <w14:ligatures w14:val="standardContextual"/>
        </w:rPr>
        <w:t>2.4. Disponibilidade Orçamentária e Declaração do Ordenador de Despesas</w:t>
      </w:r>
    </w:p>
    <w:p w14:paraId="4E654C31" w14:textId="4E2A0E4E" w:rsidR="005E049E" w:rsidRPr="00D108CE" w:rsidRDefault="005E049E" w:rsidP="005E049E">
      <w:pPr>
        <w:autoSpaceDE w:val="0"/>
        <w:autoSpaceDN w:val="0"/>
        <w:adjustRightInd w:val="0"/>
        <w:spacing w:after="0" w:line="240" w:lineRule="auto"/>
        <w:ind w:firstLine="1701"/>
        <w:jc w:val="both"/>
        <w:rPr>
          <w:rFonts w:ascii="Cambria" w:hAnsi="Cambria" w:cs="TimesNewRomanPSMT"/>
          <w:sz w:val="24"/>
          <w:szCs w:val="24"/>
          <w14:ligatures w14:val="standardContextual"/>
        </w:rPr>
      </w:pPr>
      <w:r w:rsidRPr="00D108CE">
        <w:rPr>
          <w:rFonts w:ascii="Cambria" w:hAnsi="Cambria" w:cs="TimesNewRomanPSMT"/>
          <w:sz w:val="24"/>
          <w:szCs w:val="24"/>
          <w14:ligatures w14:val="standardContextual"/>
        </w:rPr>
        <w:t>O setor financeiro informou que há disponibilidade orçamentária para o exercício de 2023.</w:t>
      </w:r>
    </w:p>
    <w:p w14:paraId="469C4D85" w14:textId="5E47AE1D" w:rsidR="004F4599" w:rsidRPr="00D108CE" w:rsidRDefault="005E049E" w:rsidP="005E049E">
      <w:pPr>
        <w:autoSpaceDE w:val="0"/>
        <w:autoSpaceDN w:val="0"/>
        <w:adjustRightInd w:val="0"/>
        <w:spacing w:after="0" w:line="240" w:lineRule="auto"/>
        <w:ind w:firstLine="1701"/>
        <w:jc w:val="both"/>
        <w:rPr>
          <w:rFonts w:ascii="Cambria" w:hAnsi="Cambria" w:cs="TimesNewRomanPSMT"/>
          <w:sz w:val="24"/>
          <w:szCs w:val="24"/>
          <w14:ligatures w14:val="standardContextual"/>
        </w:rPr>
      </w:pPr>
      <w:r w:rsidRPr="00D108CE">
        <w:rPr>
          <w:rFonts w:ascii="Cambria" w:hAnsi="Cambria" w:cs="TimesNewRomanPSMT"/>
          <w:sz w:val="24"/>
          <w:szCs w:val="24"/>
          <w14:ligatures w14:val="standardContextual"/>
        </w:rPr>
        <w:lastRenderedPageBreak/>
        <w:t>No processo, por sua vez, já consta a declaração do ordenador de despesas, cumprindo a exigência contida no art. 16, I e II, da Lei de Responsabilidade Fiscal.</w:t>
      </w:r>
    </w:p>
    <w:p w14:paraId="70612944" w14:textId="7292977D" w:rsidR="00C62464" w:rsidRPr="00D108CE" w:rsidRDefault="00C62464" w:rsidP="00C62464">
      <w:pPr>
        <w:autoSpaceDE w:val="0"/>
        <w:autoSpaceDN w:val="0"/>
        <w:adjustRightInd w:val="0"/>
        <w:spacing w:after="0" w:line="240" w:lineRule="auto"/>
        <w:ind w:firstLine="1418"/>
        <w:jc w:val="both"/>
        <w:rPr>
          <w:rFonts w:ascii="Cambria" w:hAnsi="Cambria" w:cs="TimesNewRomanPS-BoldMT"/>
          <w:b/>
          <w:bCs/>
          <w:sz w:val="24"/>
          <w:szCs w:val="24"/>
          <w14:ligatures w14:val="standardContextual"/>
        </w:rPr>
      </w:pPr>
      <w:r w:rsidRPr="00D108CE">
        <w:rPr>
          <w:rFonts w:ascii="Cambria" w:hAnsi="Cambria" w:cs="TimesNewRomanPS-BoldMT"/>
          <w:b/>
          <w:bCs/>
          <w:sz w:val="24"/>
          <w:szCs w:val="24"/>
          <w14:ligatures w14:val="standardContextual"/>
        </w:rPr>
        <w:t>2.5. Disposições Finais</w:t>
      </w:r>
    </w:p>
    <w:p w14:paraId="6AC74504" w14:textId="77777777" w:rsidR="00C62464" w:rsidRPr="00D108CE" w:rsidRDefault="00C62464" w:rsidP="00C62464">
      <w:pPr>
        <w:autoSpaceDE w:val="0"/>
        <w:autoSpaceDN w:val="0"/>
        <w:adjustRightInd w:val="0"/>
        <w:spacing w:after="0" w:line="240" w:lineRule="auto"/>
        <w:ind w:firstLine="1418"/>
        <w:jc w:val="both"/>
        <w:rPr>
          <w:rFonts w:ascii="Cambria" w:hAnsi="Cambria" w:cs="TimesNewRomanPS-BoldMT"/>
          <w:b/>
          <w:bCs/>
          <w:sz w:val="24"/>
          <w:szCs w:val="24"/>
          <w14:ligatures w14:val="standardContextual"/>
        </w:rPr>
      </w:pPr>
    </w:p>
    <w:p w14:paraId="0C068FD6" w14:textId="50A87511" w:rsidR="00C62464" w:rsidRPr="00D108CE" w:rsidRDefault="00C62464" w:rsidP="00C62464">
      <w:pPr>
        <w:autoSpaceDE w:val="0"/>
        <w:autoSpaceDN w:val="0"/>
        <w:adjustRightInd w:val="0"/>
        <w:spacing w:after="0" w:line="240" w:lineRule="auto"/>
        <w:ind w:firstLine="1701"/>
        <w:jc w:val="both"/>
        <w:rPr>
          <w:rFonts w:ascii="Cambria" w:hAnsi="Cambria" w:cs="TimesNewRomanPSMT"/>
          <w:sz w:val="24"/>
          <w:szCs w:val="24"/>
          <w14:ligatures w14:val="standardContextual"/>
        </w:rPr>
      </w:pPr>
      <w:r w:rsidRPr="00D108CE">
        <w:rPr>
          <w:rFonts w:ascii="Cambria" w:hAnsi="Cambria" w:cs="TimesNewRomanPSMT"/>
          <w:sz w:val="24"/>
          <w:szCs w:val="24"/>
          <w14:ligatures w14:val="standardContextual"/>
        </w:rPr>
        <w:t>Os documentos de habilitação da contratada estão nos autos (item IX do relatório), sem registros de impedimento de licitar ou ocorrências impeditivas indiretas.</w:t>
      </w:r>
    </w:p>
    <w:p w14:paraId="7AA3F01F" w14:textId="2C918278" w:rsidR="00943DC1" w:rsidRPr="00D108CE" w:rsidRDefault="00943DC1" w:rsidP="00943DC1">
      <w:pPr>
        <w:autoSpaceDE w:val="0"/>
        <w:autoSpaceDN w:val="0"/>
        <w:adjustRightInd w:val="0"/>
        <w:spacing w:after="0" w:line="240" w:lineRule="auto"/>
        <w:ind w:firstLine="1701"/>
        <w:jc w:val="both"/>
        <w:rPr>
          <w:rFonts w:ascii="Cambria" w:hAnsi="Cambria" w:cs="TimesNewRomanPS-BoldMT"/>
          <w:b/>
          <w:bCs/>
          <w:sz w:val="24"/>
          <w:szCs w:val="24"/>
          <w14:ligatures w14:val="standardContextual"/>
        </w:rPr>
      </w:pPr>
      <w:r w:rsidRPr="00D108CE">
        <w:rPr>
          <w:rFonts w:ascii="Cambria" w:hAnsi="Cambria" w:cs="TimesNewRomanPSMT"/>
          <w:sz w:val="24"/>
          <w:szCs w:val="24"/>
          <w14:ligatures w14:val="standardContextual"/>
        </w:rPr>
        <w:t xml:space="preserve">Cumpre preconizar que a manutenção das condições de habilitação é condição necessária durante toda a contratação, devendo ser observada pelas unidades competentes durante a emissão da Nota de Empenho, do termo aditivo e dos pagamentos devidos. </w:t>
      </w:r>
    </w:p>
    <w:p w14:paraId="4DD3886A" w14:textId="6CE7A80A" w:rsidR="00943DC1" w:rsidRPr="00D108CE" w:rsidRDefault="00943DC1" w:rsidP="00943DC1">
      <w:pPr>
        <w:autoSpaceDE w:val="0"/>
        <w:autoSpaceDN w:val="0"/>
        <w:adjustRightInd w:val="0"/>
        <w:spacing w:after="0" w:line="240" w:lineRule="auto"/>
        <w:ind w:firstLine="1701"/>
        <w:jc w:val="both"/>
        <w:rPr>
          <w:rFonts w:ascii="Cambria" w:hAnsi="Cambria" w:cs="TimesNewRomanPSMT"/>
          <w:sz w:val="24"/>
          <w:szCs w:val="24"/>
          <w14:ligatures w14:val="standardContextual"/>
        </w:rPr>
      </w:pPr>
      <w:r w:rsidRPr="00D108CE">
        <w:rPr>
          <w:rFonts w:ascii="Cambria" w:hAnsi="Cambria" w:cs="TimesNewRomanPSMT"/>
          <w:sz w:val="24"/>
          <w:szCs w:val="24"/>
          <w14:ligatures w14:val="standardContextual"/>
        </w:rPr>
        <w:t>Registra-se que a divulgação no Portal Nacional de Contratações Públicas (PNCP) é condição indispensável para a eficácia do contrato e deverá ocorrer no prazo de 10 dias úteis, contados da data da assinatura (art. 94, II, da Lei n. 14.133/2021). Outrossim, o ato que autoriza a contratação direta ou o extrato decorrente do contrato deverá ser divulgado e mantido à disposição do público em sítio eletrônico oficial (art. 72, parágrafo único, da Lei n. 14.133/2021).</w:t>
      </w:r>
    </w:p>
    <w:p w14:paraId="13C3FD1F" w14:textId="77777777" w:rsidR="002E2054" w:rsidRPr="00D108CE" w:rsidRDefault="002E2054" w:rsidP="00943DC1">
      <w:pPr>
        <w:autoSpaceDE w:val="0"/>
        <w:autoSpaceDN w:val="0"/>
        <w:adjustRightInd w:val="0"/>
        <w:spacing w:after="0" w:line="240" w:lineRule="auto"/>
        <w:ind w:firstLine="1701"/>
        <w:jc w:val="both"/>
        <w:rPr>
          <w:rFonts w:ascii="Cambria" w:hAnsi="Cambria" w:cs="TimesNewRomanPSMT"/>
          <w:sz w:val="24"/>
          <w:szCs w:val="24"/>
          <w14:ligatures w14:val="standardContextual"/>
        </w:rPr>
      </w:pPr>
    </w:p>
    <w:p w14:paraId="587C617F" w14:textId="50A40333" w:rsidR="00943DC1" w:rsidRPr="00D108CE" w:rsidRDefault="0037000E" w:rsidP="0037000E">
      <w:pPr>
        <w:pStyle w:val="PargrafodaLista"/>
        <w:numPr>
          <w:ilvl w:val="0"/>
          <w:numId w:val="4"/>
        </w:numPr>
        <w:autoSpaceDE w:val="0"/>
        <w:autoSpaceDN w:val="0"/>
        <w:adjustRightInd w:val="0"/>
        <w:spacing w:after="0" w:line="240" w:lineRule="auto"/>
        <w:jc w:val="both"/>
        <w:rPr>
          <w:rFonts w:ascii="Cambria" w:hAnsi="Cambria" w:cs="TimesNewRomanPS-BoldMT"/>
          <w:b/>
          <w:bCs/>
          <w:sz w:val="24"/>
          <w:szCs w:val="24"/>
          <w14:ligatures w14:val="standardContextual"/>
        </w:rPr>
      </w:pPr>
      <w:r w:rsidRPr="00D108CE">
        <w:rPr>
          <w:rFonts w:ascii="Cambria" w:hAnsi="Cambria" w:cs="TimesNewRomanPS-BoldMT"/>
          <w:b/>
          <w:bCs/>
          <w:sz w:val="24"/>
          <w:szCs w:val="24"/>
          <w14:ligatures w14:val="standardContextual"/>
        </w:rPr>
        <w:t>Conclusão</w:t>
      </w:r>
    </w:p>
    <w:p w14:paraId="21EB2A76" w14:textId="77777777" w:rsidR="0037000E" w:rsidRPr="00D108CE" w:rsidRDefault="0037000E" w:rsidP="0037000E">
      <w:pPr>
        <w:pStyle w:val="PargrafodaLista"/>
        <w:autoSpaceDE w:val="0"/>
        <w:autoSpaceDN w:val="0"/>
        <w:adjustRightInd w:val="0"/>
        <w:spacing w:after="0" w:line="240" w:lineRule="auto"/>
        <w:ind w:left="1778"/>
        <w:jc w:val="both"/>
        <w:rPr>
          <w:rFonts w:ascii="Cambria" w:hAnsi="Cambria" w:cs="TimesNewRomanPS-BoldMT"/>
          <w:b/>
          <w:bCs/>
          <w:sz w:val="24"/>
          <w:szCs w:val="24"/>
          <w14:ligatures w14:val="standardContextual"/>
        </w:rPr>
      </w:pPr>
    </w:p>
    <w:p w14:paraId="0231E019" w14:textId="2E5EE15F" w:rsidR="00C62464" w:rsidRPr="00D108CE" w:rsidRDefault="002E2054" w:rsidP="002E2054">
      <w:pPr>
        <w:autoSpaceDE w:val="0"/>
        <w:autoSpaceDN w:val="0"/>
        <w:adjustRightInd w:val="0"/>
        <w:spacing w:after="0" w:line="240" w:lineRule="auto"/>
        <w:jc w:val="both"/>
        <w:rPr>
          <w:rFonts w:ascii="Cambria" w:hAnsi="Cambria" w:cs="Arial"/>
          <w:sz w:val="24"/>
          <w:szCs w:val="24"/>
        </w:rPr>
      </w:pPr>
      <w:r w:rsidRPr="00D108CE">
        <w:rPr>
          <w:rFonts w:ascii="Cambria" w:hAnsi="Cambria" w:cs="TimesNewRomanPSMT"/>
          <w:sz w:val="24"/>
          <w:szCs w:val="24"/>
          <w14:ligatures w14:val="standardContextual"/>
        </w:rPr>
        <w:t xml:space="preserve">Diante do exposto, conclui-se que o processo se encontra revestido das formalidades legais exigidas, razão pela qual </w:t>
      </w:r>
      <w:proofErr w:type="spellStart"/>
      <w:r w:rsidRPr="00D108CE">
        <w:rPr>
          <w:rFonts w:ascii="Cambria" w:hAnsi="Cambria" w:cs="TimesNewRomanPSMT"/>
          <w:sz w:val="24"/>
          <w:szCs w:val="24"/>
          <w14:ligatures w14:val="standardContextual"/>
        </w:rPr>
        <w:t>esta</w:t>
      </w:r>
      <w:proofErr w:type="spellEnd"/>
      <w:r w:rsidRPr="00D108CE">
        <w:rPr>
          <w:rFonts w:ascii="Cambria" w:hAnsi="Cambria" w:cs="TimesNewRomanPSMT"/>
          <w:sz w:val="24"/>
          <w:szCs w:val="24"/>
          <w14:ligatures w14:val="standardContextual"/>
        </w:rPr>
        <w:t xml:space="preserve"> Assessoria Jurídica se manifesta pela possibilidade de contratação, por inexigibilidade de licitação, com fulcro no art. 74, inciso III, alínea “f” da Lei n. 14.133/2021, da empresa CEPLAME – Capacitação &amp; Gestão, para a inscrição de 2 servidores da Câmara Municipal no Curso Gestão Olho Vivo, a ser realizado no período de 18/10 a 20/10/2023, em Martins/RN.</w:t>
      </w:r>
    </w:p>
    <w:p w14:paraId="4D131264" w14:textId="77777777" w:rsidR="002E2054" w:rsidRPr="00D108CE" w:rsidRDefault="002E2054" w:rsidP="00D35CBE">
      <w:pPr>
        <w:ind w:firstLine="1418"/>
        <w:jc w:val="both"/>
        <w:rPr>
          <w:rFonts w:ascii="Cambria" w:hAnsi="Cambria" w:cs="Arial"/>
          <w:sz w:val="24"/>
          <w:szCs w:val="24"/>
        </w:rPr>
      </w:pPr>
    </w:p>
    <w:p w14:paraId="423C66AC" w14:textId="08F8D514" w:rsidR="00D35CBE" w:rsidRPr="00D108CE" w:rsidRDefault="00D35CBE" w:rsidP="00D35CBE">
      <w:pPr>
        <w:ind w:firstLine="1418"/>
        <w:jc w:val="both"/>
        <w:rPr>
          <w:rFonts w:ascii="Cambria" w:hAnsi="Cambria" w:cs="Arial"/>
          <w:sz w:val="24"/>
          <w:szCs w:val="24"/>
        </w:rPr>
      </w:pPr>
      <w:r w:rsidRPr="00D108CE">
        <w:rPr>
          <w:rFonts w:ascii="Cambria" w:hAnsi="Cambria" w:cs="Arial"/>
          <w:sz w:val="24"/>
          <w:szCs w:val="24"/>
        </w:rPr>
        <w:t>É o parecer, o qual se submete à apreciação Superior.</w:t>
      </w:r>
    </w:p>
    <w:p w14:paraId="223BB96A" w14:textId="77777777" w:rsidR="00D35CBE" w:rsidRPr="00D108CE" w:rsidRDefault="00D35CBE" w:rsidP="00D35CBE">
      <w:pPr>
        <w:ind w:firstLine="1418"/>
        <w:jc w:val="both"/>
        <w:rPr>
          <w:rFonts w:ascii="Cambria" w:hAnsi="Cambria" w:cs="Arial"/>
          <w:sz w:val="24"/>
          <w:szCs w:val="24"/>
        </w:rPr>
      </w:pPr>
    </w:p>
    <w:p w14:paraId="6844E4AF" w14:textId="2B994A2E" w:rsidR="00D35CBE" w:rsidRPr="00D108CE" w:rsidRDefault="00D35CBE" w:rsidP="00D35CBE">
      <w:pPr>
        <w:ind w:firstLine="1418"/>
        <w:jc w:val="both"/>
        <w:rPr>
          <w:rFonts w:ascii="Cambria" w:hAnsi="Cambria" w:cs="Arial"/>
          <w:sz w:val="24"/>
          <w:szCs w:val="24"/>
        </w:rPr>
      </w:pPr>
      <w:r w:rsidRPr="00D108CE">
        <w:rPr>
          <w:rFonts w:ascii="Cambria" w:hAnsi="Cambria" w:cs="Arial"/>
          <w:sz w:val="24"/>
          <w:szCs w:val="24"/>
        </w:rPr>
        <w:t xml:space="preserve">Jardim do Seridó - RN, </w:t>
      </w:r>
      <w:r w:rsidR="002E2054" w:rsidRPr="00D108CE">
        <w:rPr>
          <w:rFonts w:ascii="Cambria" w:hAnsi="Cambria" w:cs="Arial"/>
          <w:sz w:val="24"/>
          <w:szCs w:val="24"/>
        </w:rPr>
        <w:t>27</w:t>
      </w:r>
      <w:r w:rsidRPr="00D108CE">
        <w:rPr>
          <w:rFonts w:ascii="Cambria" w:hAnsi="Cambria" w:cs="Arial"/>
          <w:sz w:val="24"/>
          <w:szCs w:val="24"/>
        </w:rPr>
        <w:t xml:space="preserve"> de</w:t>
      </w:r>
      <w:r w:rsidR="00715920" w:rsidRPr="00D108CE">
        <w:rPr>
          <w:rFonts w:ascii="Cambria" w:hAnsi="Cambria" w:cs="Arial"/>
          <w:sz w:val="24"/>
          <w:szCs w:val="24"/>
        </w:rPr>
        <w:t xml:space="preserve"> </w:t>
      </w:r>
      <w:r w:rsidR="002E2054" w:rsidRPr="00D108CE">
        <w:rPr>
          <w:rFonts w:ascii="Cambria" w:hAnsi="Cambria" w:cs="Arial"/>
          <w:sz w:val="24"/>
          <w:szCs w:val="24"/>
        </w:rPr>
        <w:t xml:space="preserve">setembro </w:t>
      </w:r>
      <w:r w:rsidRPr="00D108CE">
        <w:rPr>
          <w:rFonts w:ascii="Cambria" w:hAnsi="Cambria" w:cs="Arial"/>
          <w:sz w:val="24"/>
          <w:szCs w:val="24"/>
        </w:rPr>
        <w:t>de 2023.</w:t>
      </w:r>
    </w:p>
    <w:p w14:paraId="3605EADC" w14:textId="77777777" w:rsidR="00D35CBE" w:rsidRPr="00D108CE" w:rsidRDefault="00D35CBE" w:rsidP="00D35CBE">
      <w:pPr>
        <w:jc w:val="both"/>
        <w:rPr>
          <w:rFonts w:ascii="Cambria" w:hAnsi="Cambria" w:cs="Arial"/>
          <w:sz w:val="24"/>
          <w:szCs w:val="24"/>
        </w:rPr>
      </w:pPr>
      <w:r w:rsidRPr="00D108CE">
        <w:rPr>
          <w:rFonts w:ascii="Cambria" w:hAnsi="Cambria" w:cs="Arial"/>
          <w:noProof/>
          <w:sz w:val="24"/>
          <w:szCs w:val="24"/>
        </w:rPr>
        <w:drawing>
          <wp:anchor distT="0" distB="0" distL="114300" distR="114300" simplePos="0" relativeHeight="251661312" behindDoc="0" locked="0" layoutInCell="1" allowOverlap="1" wp14:anchorId="0D90E8AA" wp14:editId="0B3A6B32">
            <wp:simplePos x="0" y="0"/>
            <wp:positionH relativeFrom="column">
              <wp:posOffset>2053590</wp:posOffset>
            </wp:positionH>
            <wp:positionV relativeFrom="paragraph">
              <wp:posOffset>138430</wp:posOffset>
            </wp:positionV>
            <wp:extent cx="1952625" cy="466725"/>
            <wp:effectExtent l="0" t="0" r="0" b="952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14:paraId="1C0FD93C" w14:textId="77777777" w:rsidR="00D35CBE" w:rsidRPr="00D108CE" w:rsidRDefault="00D35CBE" w:rsidP="00D35CBE">
      <w:pPr>
        <w:spacing w:after="0"/>
        <w:jc w:val="center"/>
        <w:rPr>
          <w:rFonts w:ascii="Cambria" w:hAnsi="Cambria" w:cs="Arial"/>
          <w:sz w:val="24"/>
          <w:szCs w:val="24"/>
        </w:rPr>
      </w:pPr>
      <w:r w:rsidRPr="00D108CE">
        <w:rPr>
          <w:rFonts w:ascii="Cambria" w:hAnsi="Cambria" w:cs="Arial"/>
          <w:sz w:val="24"/>
          <w:szCs w:val="24"/>
        </w:rPr>
        <w:t>_____________________________________</w:t>
      </w:r>
    </w:p>
    <w:p w14:paraId="270D8813" w14:textId="77777777" w:rsidR="00D35CBE" w:rsidRPr="00D108CE" w:rsidRDefault="00D35CBE" w:rsidP="00D35CBE">
      <w:pPr>
        <w:spacing w:after="0"/>
        <w:jc w:val="center"/>
        <w:rPr>
          <w:rFonts w:ascii="Cambria" w:hAnsi="Cambria" w:cs="Arial"/>
          <w:b/>
          <w:bCs/>
          <w:sz w:val="24"/>
          <w:szCs w:val="24"/>
        </w:rPr>
      </w:pPr>
      <w:proofErr w:type="spellStart"/>
      <w:r w:rsidRPr="00D108CE">
        <w:rPr>
          <w:rFonts w:ascii="Cambria" w:hAnsi="Cambria" w:cs="Arial"/>
          <w:b/>
          <w:bCs/>
          <w:sz w:val="24"/>
          <w:szCs w:val="24"/>
        </w:rPr>
        <w:t>Luisiane</w:t>
      </w:r>
      <w:proofErr w:type="spellEnd"/>
      <w:r w:rsidRPr="00D108CE">
        <w:rPr>
          <w:rFonts w:ascii="Cambria" w:hAnsi="Cambria" w:cs="Arial"/>
          <w:b/>
          <w:bCs/>
          <w:sz w:val="24"/>
          <w:szCs w:val="24"/>
        </w:rPr>
        <w:t xml:space="preserve"> Morais da Fonseca</w:t>
      </w:r>
    </w:p>
    <w:p w14:paraId="4D29F9FF" w14:textId="77777777" w:rsidR="00D35CBE" w:rsidRPr="00D108CE" w:rsidRDefault="00D35CBE" w:rsidP="002E2054">
      <w:pPr>
        <w:ind w:left="2832" w:firstLine="708"/>
        <w:rPr>
          <w:rFonts w:ascii="Cambria" w:hAnsi="Cambria"/>
        </w:rPr>
      </w:pPr>
      <w:r w:rsidRPr="00D108CE">
        <w:rPr>
          <w:rFonts w:ascii="Cambria" w:hAnsi="Cambria" w:cs="Arial"/>
          <w:i/>
          <w:iCs/>
          <w:sz w:val="24"/>
          <w:szCs w:val="24"/>
        </w:rPr>
        <w:t>Assessora Jurídica</w:t>
      </w:r>
    </w:p>
    <w:sectPr w:rsidR="00D35CBE" w:rsidRPr="00D108C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92A2" w14:textId="77777777" w:rsidR="00836371" w:rsidRDefault="00836371" w:rsidP="00D35CBE">
      <w:pPr>
        <w:spacing w:after="0" w:line="240" w:lineRule="auto"/>
      </w:pPr>
      <w:r>
        <w:separator/>
      </w:r>
    </w:p>
  </w:endnote>
  <w:endnote w:type="continuationSeparator" w:id="0">
    <w:p w14:paraId="17C1EEED" w14:textId="77777777" w:rsidR="00836371" w:rsidRDefault="00836371" w:rsidP="00D3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SerifCondense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9FBD" w14:textId="77777777" w:rsidR="003B0560" w:rsidRDefault="003B0560" w:rsidP="006B1301">
    <w:pPr>
      <w:pStyle w:val="Rodap"/>
      <w:tabs>
        <w:tab w:val="left" w:pos="7224"/>
      </w:tabs>
    </w:pPr>
  </w:p>
  <w:p w14:paraId="2D435AE0" w14:textId="77777777" w:rsidR="003B0560" w:rsidRDefault="003B0560" w:rsidP="006B1301">
    <w:pPr>
      <w:pStyle w:val="Rodap"/>
      <w:tabs>
        <w:tab w:val="left" w:pos="7224"/>
      </w:tabs>
    </w:pPr>
  </w:p>
  <w:p w14:paraId="47F99AB9" w14:textId="77777777" w:rsidR="003B0560" w:rsidRDefault="003B0560" w:rsidP="006B1301">
    <w:pPr>
      <w:pStyle w:val="Rodap"/>
      <w:tabs>
        <w:tab w:val="left" w:pos="7224"/>
      </w:tabs>
    </w:pPr>
  </w:p>
  <w:p w14:paraId="63F40E4F" w14:textId="0C021C05" w:rsidR="006B1301" w:rsidRDefault="006B1301" w:rsidP="006B1301">
    <w:pPr>
      <w:pStyle w:val="Rodap"/>
      <w:tabs>
        <w:tab w:val="left" w:pos="722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B45E5" w14:textId="77777777" w:rsidR="00836371" w:rsidRDefault="00836371" w:rsidP="00D35CBE">
      <w:pPr>
        <w:spacing w:after="0" w:line="240" w:lineRule="auto"/>
      </w:pPr>
      <w:r>
        <w:separator/>
      </w:r>
    </w:p>
  </w:footnote>
  <w:footnote w:type="continuationSeparator" w:id="0">
    <w:p w14:paraId="529BB276" w14:textId="77777777" w:rsidR="00836371" w:rsidRDefault="00836371" w:rsidP="00D3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28C5" w14:textId="77777777" w:rsidR="006B1301" w:rsidRDefault="006B1301">
    <w:pPr>
      <w:pStyle w:val="Cabealho"/>
    </w:pPr>
  </w:p>
  <w:p w14:paraId="3C2F0BFD" w14:textId="77777777" w:rsidR="006B1301" w:rsidRDefault="006B1301">
    <w:pPr>
      <w:pStyle w:val="Cabealho"/>
    </w:pPr>
  </w:p>
  <w:p w14:paraId="3467AAC5" w14:textId="77777777" w:rsidR="006B1301" w:rsidRDefault="006B1301">
    <w:pPr>
      <w:pStyle w:val="Cabealho"/>
    </w:pPr>
  </w:p>
  <w:p w14:paraId="47C66159" w14:textId="77777777" w:rsidR="006B1301" w:rsidRDefault="006B1301">
    <w:pPr>
      <w:pStyle w:val="Cabealho"/>
    </w:pPr>
  </w:p>
  <w:p w14:paraId="0871A780" w14:textId="77777777" w:rsidR="006B1301" w:rsidRDefault="006B1301">
    <w:pPr>
      <w:pStyle w:val="Cabealho"/>
    </w:pPr>
  </w:p>
  <w:p w14:paraId="562C880A" w14:textId="77777777" w:rsidR="006B1301" w:rsidRDefault="006B1301">
    <w:pPr>
      <w:pStyle w:val="Cabealho"/>
    </w:pPr>
  </w:p>
  <w:p w14:paraId="13F53918" w14:textId="77777777" w:rsidR="006B1301" w:rsidRDefault="006B1301">
    <w:pPr>
      <w:pStyle w:val="Cabealho"/>
    </w:pPr>
  </w:p>
  <w:p w14:paraId="736D02A2" w14:textId="056BCF1D" w:rsidR="00D35CBE" w:rsidRDefault="00D35CBE">
    <w:pPr>
      <w:pStyle w:val="Cabealho"/>
    </w:pPr>
    <w:r>
      <w:rPr>
        <w:noProof/>
      </w:rPr>
      <w:drawing>
        <wp:anchor distT="0" distB="0" distL="114300" distR="114300" simplePos="0" relativeHeight="251659264" behindDoc="1" locked="0" layoutInCell="1" allowOverlap="1" wp14:anchorId="01C4D1A3" wp14:editId="76AAFF74">
          <wp:simplePos x="0" y="0"/>
          <wp:positionH relativeFrom="page">
            <wp:align>left</wp:align>
          </wp:positionH>
          <wp:positionV relativeFrom="page">
            <wp:align>top</wp:align>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635E7"/>
    <w:multiLevelType w:val="hybridMultilevel"/>
    <w:tmpl w:val="D402D4D6"/>
    <w:lvl w:ilvl="0" w:tplc="6DAE2320">
      <w:start w:val="3"/>
      <w:numFmt w:val="decimal"/>
      <w:lvlText w:val="%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396281B"/>
    <w:multiLevelType w:val="hybridMultilevel"/>
    <w:tmpl w:val="786E8676"/>
    <w:lvl w:ilvl="0" w:tplc="BD261184">
      <w:start w:val="3"/>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326A5A48"/>
    <w:multiLevelType w:val="hybridMultilevel"/>
    <w:tmpl w:val="21DEACA6"/>
    <w:lvl w:ilvl="0" w:tplc="076632B8">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5329007F"/>
    <w:multiLevelType w:val="hybridMultilevel"/>
    <w:tmpl w:val="7CD2FB94"/>
    <w:lvl w:ilvl="0" w:tplc="9DDCA794">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1652054744">
    <w:abstractNumId w:val="3"/>
  </w:num>
  <w:num w:numId="2" w16cid:durableId="44067823">
    <w:abstractNumId w:val="2"/>
  </w:num>
  <w:num w:numId="3" w16cid:durableId="116798315">
    <w:abstractNumId w:val="1"/>
  </w:num>
  <w:num w:numId="4" w16cid:durableId="146881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BE"/>
    <w:rsid w:val="00024DFF"/>
    <w:rsid w:val="001B0FAE"/>
    <w:rsid w:val="00222FC9"/>
    <w:rsid w:val="00270296"/>
    <w:rsid w:val="002846D1"/>
    <w:rsid w:val="002E2054"/>
    <w:rsid w:val="0037000E"/>
    <w:rsid w:val="003725E8"/>
    <w:rsid w:val="003B0560"/>
    <w:rsid w:val="004F4599"/>
    <w:rsid w:val="004F5AC9"/>
    <w:rsid w:val="0051004A"/>
    <w:rsid w:val="005112C4"/>
    <w:rsid w:val="005244C6"/>
    <w:rsid w:val="00544C00"/>
    <w:rsid w:val="005E049E"/>
    <w:rsid w:val="006374F7"/>
    <w:rsid w:val="006B1301"/>
    <w:rsid w:val="00715920"/>
    <w:rsid w:val="00783FB6"/>
    <w:rsid w:val="007C58C4"/>
    <w:rsid w:val="007D1420"/>
    <w:rsid w:val="00821006"/>
    <w:rsid w:val="00836371"/>
    <w:rsid w:val="0083784A"/>
    <w:rsid w:val="00853D8F"/>
    <w:rsid w:val="00943DC1"/>
    <w:rsid w:val="00954E3D"/>
    <w:rsid w:val="009866E8"/>
    <w:rsid w:val="00A75EC5"/>
    <w:rsid w:val="00A82CF4"/>
    <w:rsid w:val="00A94141"/>
    <w:rsid w:val="00B05A1C"/>
    <w:rsid w:val="00B62F27"/>
    <w:rsid w:val="00BC6B0C"/>
    <w:rsid w:val="00C62464"/>
    <w:rsid w:val="00D108CE"/>
    <w:rsid w:val="00D237B2"/>
    <w:rsid w:val="00D35CBE"/>
    <w:rsid w:val="00D97CB9"/>
    <w:rsid w:val="00F31493"/>
    <w:rsid w:val="00F753F9"/>
    <w:rsid w:val="00FD0ED1"/>
    <w:rsid w:val="00FF01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A79B3"/>
  <w15:chartTrackingRefBased/>
  <w15:docId w15:val="{999EC381-9C53-4926-B1F2-5879E3FF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BE"/>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35CBE"/>
    <w:pPr>
      <w:tabs>
        <w:tab w:val="center" w:pos="4252"/>
        <w:tab w:val="right" w:pos="8504"/>
      </w:tabs>
      <w:spacing w:after="0" w:line="240" w:lineRule="auto"/>
    </w:pPr>
    <w:rPr>
      <w:kern w:val="2"/>
      <w14:ligatures w14:val="standardContextual"/>
    </w:rPr>
  </w:style>
  <w:style w:type="character" w:customStyle="1" w:styleId="CabealhoChar">
    <w:name w:val="Cabeçalho Char"/>
    <w:basedOn w:val="Fontepargpadro"/>
    <w:link w:val="Cabealho"/>
    <w:uiPriority w:val="99"/>
    <w:rsid w:val="00D35CBE"/>
  </w:style>
  <w:style w:type="paragraph" w:styleId="Rodap">
    <w:name w:val="footer"/>
    <w:basedOn w:val="Normal"/>
    <w:link w:val="RodapChar"/>
    <w:uiPriority w:val="99"/>
    <w:unhideWhenUsed/>
    <w:rsid w:val="00D35CBE"/>
    <w:pPr>
      <w:tabs>
        <w:tab w:val="center" w:pos="4252"/>
        <w:tab w:val="right" w:pos="8504"/>
      </w:tabs>
      <w:spacing w:after="0" w:line="240" w:lineRule="auto"/>
    </w:pPr>
    <w:rPr>
      <w:kern w:val="2"/>
      <w14:ligatures w14:val="standardContextual"/>
    </w:rPr>
  </w:style>
  <w:style w:type="character" w:customStyle="1" w:styleId="RodapChar">
    <w:name w:val="Rodapé Char"/>
    <w:basedOn w:val="Fontepargpadro"/>
    <w:link w:val="Rodap"/>
    <w:uiPriority w:val="99"/>
    <w:rsid w:val="00D35CBE"/>
  </w:style>
  <w:style w:type="character" w:customStyle="1" w:styleId="fontstyle01">
    <w:name w:val="fontstyle01"/>
    <w:basedOn w:val="Fontepargpadro"/>
    <w:rsid w:val="00D35CBE"/>
    <w:rPr>
      <w:rFonts w:ascii="DejaVuSerifCondensed" w:hAnsi="DejaVuSerifCondensed" w:hint="default"/>
      <w:b w:val="0"/>
      <w:bCs w:val="0"/>
      <w:i w:val="0"/>
      <w:iCs w:val="0"/>
      <w:color w:val="000000"/>
      <w:sz w:val="14"/>
      <w:szCs w:val="14"/>
    </w:rPr>
  </w:style>
  <w:style w:type="paragraph" w:customStyle="1" w:styleId="Default">
    <w:name w:val="Default"/>
    <w:rsid w:val="00FD0ED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grafodaLista">
    <w:name w:val="List Paragraph"/>
    <w:basedOn w:val="Normal"/>
    <w:uiPriority w:val="34"/>
    <w:qFormat/>
    <w:rsid w:val="00FD0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2447</Words>
  <Characters>13217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 CMJS</dc:creator>
  <cp:keywords/>
  <dc:description/>
  <cp:lastModifiedBy>Ruan Dantas</cp:lastModifiedBy>
  <cp:revision>36</cp:revision>
  <cp:lastPrinted>2023-09-27T12:49:00Z</cp:lastPrinted>
  <dcterms:created xsi:type="dcterms:W3CDTF">2023-09-26T15:12:00Z</dcterms:created>
  <dcterms:modified xsi:type="dcterms:W3CDTF">2023-09-27T12:49:00Z</dcterms:modified>
</cp:coreProperties>
</file>