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040"/>
          <w:tab w:val="left" w:leader="none" w:pos="6135"/>
        </w:tabs>
        <w:spacing w:after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1225875</wp:posOffset>
            </wp:positionH>
            <wp:positionV relativeFrom="page">
              <wp:posOffset>161925</wp:posOffset>
            </wp:positionV>
            <wp:extent cx="7938152" cy="10692000"/>
            <wp:effectExtent b="0" l="0" r="0" t="0"/>
            <wp:wrapNone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38152" cy="1069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2">
      <w:pPr>
        <w:spacing w:after="28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910"/>
          <w:tab w:val="left" w:leader="none" w:pos="3340"/>
        </w:tabs>
        <w:spacing w:after="280" w:before="28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JURÍDICO</w:t>
      </w:r>
    </w:p>
    <w:p w:rsidR="00000000" w:rsidDel="00000000" w:rsidP="00000000" w:rsidRDefault="00000000" w:rsidRPr="00000000" w14:paraId="00000005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PROCESSO Nº: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327.006/2023</w:t>
      </w:r>
    </w:p>
    <w:p w:rsidR="00000000" w:rsidDel="00000000" w:rsidP="00000000" w:rsidRDefault="00000000" w:rsidRPr="00000000" w14:paraId="00000007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PREGÃO Nº: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001/2023</w:t>
      </w:r>
    </w:p>
    <w:p w:rsidR="00000000" w:rsidDel="00000000" w:rsidP="00000000" w:rsidRDefault="00000000" w:rsidRPr="00000000" w14:paraId="00000008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INTERESSADO: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Câmara Municipal de Jardim do Seridó</w:t>
      </w:r>
    </w:p>
    <w:p w:rsidR="00000000" w:rsidDel="00000000" w:rsidP="00000000" w:rsidRDefault="00000000" w:rsidRPr="00000000" w14:paraId="00000009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ASSUNTO: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Licitação, Pregão Eletrônico, registro de preço, menor preço por item, para a futura e eventual aquisição de equipamentos de informática, visando atender as demandas da Câmara Municipal. Aquisição de Equipamentos de Informática (hardware) e periféricos, conforme condições, quantidades e exigências estabelecidas no Termo de Referência respectivo.</w:t>
      </w:r>
    </w:p>
    <w:p w:rsidR="00000000" w:rsidDel="00000000" w:rsidP="00000000" w:rsidRDefault="00000000" w:rsidRPr="00000000" w14:paraId="0000000A">
      <w:pPr>
        <w:spacing w:after="280" w:before="280" w:line="360" w:lineRule="auto"/>
        <w:ind w:left="1701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EMENTA: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PEDIDO DE PARECER JURÍDICO CONCLUSIVO PARA O PREGÃO ELETRÔNICO N. 001/2023. CUMPRIMENTO DAS ETAPAS ESTANDO PENDENTE A ADJUDICAÇÃO E HOMOLOGAÇÃO. ATO REGULAR PARA HOMOLOGAÇÃO. APROVAÇÃO.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INCISO II DO § 2º DO ARTIGO 53 DA LEI Nº 14.133/2021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80" w:before="280" w:line="360" w:lineRule="auto"/>
        <w:ind w:left="1701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PRELIMINARMENTE</w:t>
      </w:r>
    </w:p>
    <w:p w:rsidR="00000000" w:rsidDel="00000000" w:rsidP="00000000" w:rsidRDefault="00000000" w:rsidRPr="00000000" w14:paraId="0000000C">
      <w:pPr>
        <w:tabs>
          <w:tab w:val="left" w:leader="none" w:pos="1103"/>
        </w:tabs>
        <w:spacing w:after="280" w:before="280" w:line="360" w:lineRule="auto"/>
        <w:ind w:firstLine="1134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Assessoria Jurídica examinará o cumprimento das etapas obrigatórias e as respectivas documentações relativas à fase externa deste certame licitatório, a fim de atestar a legitimidade do procedimento ante a intenção de homologação do Pregão Eletrônico n. 001/2023. É o breve relatório do necessário.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D">
      <w:pPr>
        <w:tabs>
          <w:tab w:val="left" w:leader="none" w:pos="1103"/>
        </w:tabs>
        <w:spacing w:after="280" w:before="280" w:line="360" w:lineRule="auto"/>
        <w:ind w:firstLine="1134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03"/>
        </w:tabs>
        <w:spacing w:after="280" w:before="280" w:line="360" w:lineRule="auto"/>
        <w:ind w:firstLine="1134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03"/>
        </w:tabs>
        <w:spacing w:after="280" w:before="280" w:line="360" w:lineRule="auto"/>
        <w:ind w:firstLine="1134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3"/>
        </w:tabs>
        <w:spacing w:after="280" w:before="280" w:line="360" w:lineRule="auto"/>
        <w:ind w:left="-142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fase externa iniciou com a publicação do aviso de Edital, em 19/05/2023, no Diário Oficial das Câmaras Municipais, informando sobre a realização do Pregão Eletrônico n. 001/2023, no dia 05/06/2023, às 08h.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Alguns pedidos de esclarecimentos, referente ao processo licitatório, foram enviados por e-mail, dos quais todos foram devidamente respondidos pela unidade técnica.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sessão pública teve a abertura das propostas, onde as empresas participaram da fase competitiva de forma eletrônica, pela disputa dos itens.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ANÁLISE JURÍDICA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 DAS EXIGÊNCIAS LEGAIS</w:t>
      </w:r>
    </w:p>
    <w:p w:rsidR="00000000" w:rsidDel="00000000" w:rsidP="00000000" w:rsidRDefault="00000000" w:rsidRPr="00000000" w14:paraId="00000016">
      <w:pPr>
        <w:spacing w:after="280" w:before="280" w:line="360" w:lineRule="auto"/>
        <w:ind w:firstLine="17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Exame desta assessoria se dá nos termos do art. 53 da Lei n® 14.133/2021 e demais normas pertinentes à espécie, subtraindo-se análises que importem considerações de ordem técnica, financeira ou orçamentária, considerando a delimitação geral legal de competência do cargo, com teor elucidativo não vinculativo da autoridade competente. Sinalo que a presente análise dispensa o exame do edital, em razão desta Procuradoria já ter emitido parecer relativo à minuta de tal peça processual, analisando mais detidamente os demais atos do procedimento licitatório realizados até então:</w:t>
      </w:r>
    </w:p>
    <w:p w:rsidR="00000000" w:rsidDel="00000000" w:rsidP="00000000" w:rsidRDefault="00000000" w:rsidRPr="00000000" w14:paraId="00000017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Autuação, protocolo e numeração; </w:t>
      </w:r>
    </w:p>
    <w:p w:rsidR="00000000" w:rsidDel="00000000" w:rsidP="00000000" w:rsidRDefault="00000000" w:rsidRPr="00000000" w14:paraId="00000018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Justificativa da contratação; </w:t>
      </w:r>
    </w:p>
    <w:p w:rsidR="00000000" w:rsidDel="00000000" w:rsidP="00000000" w:rsidRDefault="00000000" w:rsidRPr="00000000" w14:paraId="00000019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Especificação do objeto; </w:t>
      </w:r>
    </w:p>
    <w:p w:rsidR="00000000" w:rsidDel="00000000" w:rsidP="00000000" w:rsidRDefault="00000000" w:rsidRPr="00000000" w14:paraId="0000001A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Autorização da autoridade competente; </w:t>
      </w:r>
    </w:p>
    <w:p w:rsidR="00000000" w:rsidDel="00000000" w:rsidP="00000000" w:rsidRDefault="00000000" w:rsidRPr="00000000" w14:paraId="0000001B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e) Se a modalidade de licitação é compatível; </w:t>
      </w:r>
    </w:p>
    <w:p w:rsidR="00000000" w:rsidDel="00000000" w:rsidP="00000000" w:rsidRDefault="00000000" w:rsidRPr="00000000" w14:paraId="0000001C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f) Ato de designação da comissão; </w:t>
      </w:r>
    </w:p>
    <w:p w:rsidR="00000000" w:rsidDel="00000000" w:rsidP="00000000" w:rsidRDefault="00000000" w:rsidRPr="00000000" w14:paraId="0000001D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g) Edital numerado em ordem;</w:t>
      </w:r>
    </w:p>
    <w:p w:rsidR="00000000" w:rsidDel="00000000" w:rsidP="00000000" w:rsidRDefault="00000000" w:rsidRPr="00000000" w14:paraId="0000001E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h) Se no preâmbulo indica a modalidade, a legislação pertinente, a forma de entrega do objeto, se consta orientações sobre o local, hora e data da entrega das propostas; </w:t>
      </w:r>
    </w:p>
    <w:p w:rsidR="00000000" w:rsidDel="00000000" w:rsidP="00000000" w:rsidRDefault="00000000" w:rsidRPr="00000000" w14:paraId="0000001F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i) Indicação do objeto e do prazo e as condições para a assinatura do contrato ou a retirada dos instrumentos; </w:t>
      </w:r>
    </w:p>
    <w:p w:rsidR="00000000" w:rsidDel="00000000" w:rsidP="00000000" w:rsidRDefault="00000000" w:rsidRPr="00000000" w14:paraId="00000020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j) Indicação das sanções para o caso de inadimplemento; </w:t>
      </w:r>
    </w:p>
    <w:p w:rsidR="00000000" w:rsidDel="00000000" w:rsidP="00000000" w:rsidRDefault="00000000" w:rsidRPr="00000000" w14:paraId="00000021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k) Indicação das condições para participação da licitação; </w:t>
      </w:r>
    </w:p>
    <w:p w:rsidR="00000000" w:rsidDel="00000000" w:rsidP="00000000" w:rsidRDefault="00000000" w:rsidRPr="00000000" w14:paraId="00000022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I) Indicação da forma de apresentação das propostas; </w:t>
      </w:r>
    </w:p>
    <w:p w:rsidR="00000000" w:rsidDel="00000000" w:rsidP="00000000" w:rsidRDefault="00000000" w:rsidRPr="00000000" w14:paraId="00000023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m) Indicação do critério para julgamento, com disposições claras e parâmetro objetivos; </w:t>
      </w:r>
    </w:p>
    <w:p w:rsidR="00000000" w:rsidDel="00000000" w:rsidP="00000000" w:rsidRDefault="00000000" w:rsidRPr="00000000" w14:paraId="00000024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n) Indicação dos locais, horários e códigos de acesso para fornecimento de informações sobre a licitação aos interessados; </w:t>
      </w:r>
    </w:p>
    <w:p w:rsidR="00000000" w:rsidDel="00000000" w:rsidP="00000000" w:rsidRDefault="00000000" w:rsidRPr="00000000" w14:paraId="00000029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o) Indicação dos critérios de aceitabilidade dos preços unitário e global; </w:t>
      </w:r>
    </w:p>
    <w:p w:rsidR="00000000" w:rsidDel="00000000" w:rsidP="00000000" w:rsidRDefault="00000000" w:rsidRPr="00000000" w14:paraId="0000002A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p) Indicação das condições de pagamento.</w:t>
      </w:r>
    </w:p>
    <w:p w:rsidR="00000000" w:rsidDel="00000000" w:rsidP="00000000" w:rsidRDefault="00000000" w:rsidRPr="00000000" w14:paraId="0000002B">
      <w:pPr>
        <w:spacing w:after="280" w:before="280" w:line="360" w:lineRule="auto"/>
        <w:ind w:firstLine="17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Analisando os documentos que compõe a instrução do processo de contratação, constata-se a presença da definição do objeto e das justificativas para a sua contratação, a autorização da Autoridade Competente para a instauração do processo de contratação, o estudo técnico preliminar, a pesquisa mercadológica, a previsão de dotação orçamentária, o termo de referência, a portaria de designação do pregoeiro e da equipe de apoio, a minuta do Edital. Desta forma, é possível aferir claramente que os autos do processo se encontram devidamente instruídos, atendendo as exigências mínimas legais, ficando evidenciada a solução mais adequada para atendimento da necessidade pública.</w:t>
      </w:r>
    </w:p>
    <w:p w:rsidR="00000000" w:rsidDel="00000000" w:rsidP="00000000" w:rsidRDefault="00000000" w:rsidRPr="00000000" w14:paraId="0000002C">
      <w:pPr>
        <w:spacing w:after="280" w:before="280" w:line="360" w:lineRule="auto"/>
        <w:ind w:firstLine="17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E, nos termos apresentados na justificativa de contratação, resta evidente a sua necessidade, tendo em vista a prestação de serviço de interesse público realizado pela Câmara Municipal de Jardim do Seridó/RN, onde os objetos da contratação atenderão a demanda interna administrativa da Casa, e, a demanda externa, com o atendimento ao público. Ademais, registra-se a inexistência do plano anual de contratações nesta Casa Legislativa, o que prejudica a análise de compatibilidade da contratação com o referido plano, em que pese não se tratar de ato obrigatório para a realização do certame, uma vez que, o inciso VII, do artigo 12 da NLLC, afere a facultatividade da elaboração do plano anual de contratações, in fine:</w:t>
      </w:r>
    </w:p>
    <w:p w:rsidR="00000000" w:rsidDel="00000000" w:rsidP="00000000" w:rsidRDefault="00000000" w:rsidRPr="00000000" w14:paraId="0000002D">
      <w:pPr>
        <w:spacing w:after="280" w:before="280" w:line="360" w:lineRule="auto"/>
        <w:ind w:left="1985" w:firstLine="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Art. 12. No processo licitatório, observar-se-á o seguinte: </w:t>
      </w:r>
    </w:p>
    <w:p w:rsidR="00000000" w:rsidDel="00000000" w:rsidP="00000000" w:rsidRDefault="00000000" w:rsidRPr="00000000" w14:paraId="0000002E">
      <w:pPr>
        <w:spacing w:after="280" w:before="280" w:line="360" w:lineRule="auto"/>
        <w:ind w:left="1985" w:firstLine="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VII - a partir de documentos de formalização de demandas, os órgãos responsáveis pelo planejamento de cada ente federativo poderão, na forma de regulamento, elaborar plano de contratações anual, com o objetivo de racionalizar as contratações dos órgãos e entidades sob sua competência, garantir o alinhamento com o seu planejamento estratégico e subsidiar a elaboração das respectivas leis orçamentárias.</w:t>
      </w:r>
    </w:p>
    <w:p w:rsidR="00000000" w:rsidDel="00000000" w:rsidP="00000000" w:rsidRDefault="00000000" w:rsidRPr="00000000" w14:paraId="0000002F">
      <w:pPr>
        <w:spacing w:after="280" w:before="280" w:line="360" w:lineRule="auto"/>
        <w:ind w:firstLine="17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Seguindo a análise, verifica-se que o termo de referência elaborado a partir do estudo técnico preliminar, contém os seguintes itens: definição do objeto,</w:t>
      </w:r>
    </w:p>
    <w:p w:rsidR="00000000" w:rsidDel="00000000" w:rsidP="00000000" w:rsidRDefault="00000000" w:rsidRPr="00000000" w14:paraId="00000030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justificativa e objetivo da licitação, classificação dos objetos comuns, prazo de entrega e condições de execução, condições de pagamento, dotação orçamentária, deveres da Contratante e da Contratada, fiscalização do contrato, revisão de preços, extinção do contrato e sanções aplicáveis, contendo, por conseguinte, todos os elementos exigidos pelo inciso XIII do artigo 6º da Lei nº 14.133/2021.</w:t>
      </w:r>
    </w:p>
    <w:p w:rsidR="00000000" w:rsidDel="00000000" w:rsidP="00000000" w:rsidRDefault="00000000" w:rsidRPr="00000000" w14:paraId="00000033">
      <w:pPr>
        <w:spacing w:after="280" w:before="280" w:line="360" w:lineRule="auto"/>
        <w:ind w:firstLine="17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processo possui dois volumes, devidamente encadernados com termos de abertura e encerramento, numerado e instruído adequadamente.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218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 DA REALIZAÇÃO DO CERTAME</w:t>
      </w:r>
    </w:p>
    <w:p w:rsidR="00000000" w:rsidDel="00000000" w:rsidP="00000000" w:rsidRDefault="00000000" w:rsidRPr="00000000" w14:paraId="00000035">
      <w:pPr>
        <w:spacing w:after="280" w:before="280" w:line="360" w:lineRule="auto"/>
        <w:ind w:firstLine="17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Aos 06 (seis dias) dias do mês de maio de 2023, às 08h01min reuniu-se o Pregoeiro e Equipe de Apoio designada pela Portaria 068 de 05 de maio de 2023, para a realização do Certame Licitatório conforme consta na Ata respectiva. </w:t>
      </w:r>
    </w:p>
    <w:p w:rsidR="00000000" w:rsidDel="00000000" w:rsidP="00000000" w:rsidRDefault="00000000" w:rsidRPr="00000000" w14:paraId="00000036">
      <w:pPr>
        <w:spacing w:after="280" w:before="280" w:line="360" w:lineRule="auto"/>
        <w:ind w:firstLine="17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Pregoeiro em cumprimento aos dispositivos legais, vem apresentar a Vossa Excelência, o relatório referente ao processo licitatório na Modalidade Pregão ELETRÔNICO n 001/2023, que teve como objeto AQUISIÇÃO DE PEÇAS, PRODUTOS E ACESSÓRIOS SIMILARES PARA EQUIPAMENTOS DE INFORMÁTICA (HARDWARE), CONFORME CONDIÇÕES, QUANTIDADES E EXIGÊNCIAS ESTABELECIDAS NESTE INSTRUMENTO, cujo critério de julgamento foi do tipo Menor Preço Por Item negociado. </w:t>
      </w:r>
    </w:p>
    <w:p w:rsidR="00000000" w:rsidDel="00000000" w:rsidP="00000000" w:rsidRDefault="00000000" w:rsidRPr="00000000" w14:paraId="00000037">
      <w:pPr>
        <w:spacing w:after="280" w:before="280" w:line="360" w:lineRule="auto"/>
        <w:ind w:firstLine="17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análise a ata presente aos autos, verifica-se que o procedimento transcorreu normalmente, com participação de várias empresas licitantes, assim como o registro de suas propostas, apresentação de documentos de aceitabilidade de proposta, abertura da fase de disputa de lances, com a declaração de vencedores nos itens licitados, bem com o envio e análise de documentos de habilitação pelo pregoeiro e ainda a concessão de prazo para eventuais recursos.</w:t>
      </w:r>
    </w:p>
    <w:p w:rsidR="00000000" w:rsidDel="00000000" w:rsidP="00000000" w:rsidRDefault="00000000" w:rsidRPr="00000000" w14:paraId="00000038">
      <w:pPr>
        <w:spacing w:after="280" w:before="280" w:line="360" w:lineRule="auto"/>
        <w:ind w:firstLine="18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fornecedor EMPRESA BRASILEIRA DE COMERCIO DE EQUIPAMENTOS E SERVICOS CORPORATIVOS LTDA - EPP/SS apresentou </w:t>
      </w:r>
    </w:p>
    <w:p w:rsidR="00000000" w:rsidDel="00000000" w:rsidP="00000000" w:rsidRDefault="00000000" w:rsidRPr="00000000" w14:paraId="00000039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intenções de recurso para o item 0013 alegando o fato da proposta da empresa MARIA JOSE FREIRES DA SILVA DIAS ter sido aceita para o lote 13 mesmo o notebook Lenovo IdeaPad 3 15ITL6 part number: 82MD0007BR não atendendo os requisitos mínimos do edital quanto a controladora Wi-FI 6 (802-11 ax). Argumentando que o notebook ofertado por esta empresa possui apenas Wi-Fi 5 (802.11ac) e é absolutamente inferior e incompatível com os requisitos mínimos do edital. o pregoeiro optou por fazer o julgamento da intenção de recurso e reverter para o item 0003. Intenção de recurso foi indeferida para o item 0003.</w:t>
      </w:r>
    </w:p>
    <w:p w:rsidR="00000000" w:rsidDel="00000000" w:rsidP="00000000" w:rsidRDefault="00000000" w:rsidRPr="00000000" w14:paraId="0000003C">
      <w:pPr>
        <w:spacing w:after="280" w:before="28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Pelo que restou comprovado pela análise detida do presente processo licitatório, verifica-se que o mesmo está revestido de todos os requisitos exigidos pela Lei, razão pela qual, OPINO FAVORAVELMENTE ao prosseguimento do PREGÃO ELETRÔNICO 001/2023, devendo, pois, seguir os trâmites finais. </w:t>
      </w:r>
    </w:p>
    <w:p w:rsidR="00000000" w:rsidDel="00000000" w:rsidP="00000000" w:rsidRDefault="00000000" w:rsidRPr="00000000" w14:paraId="0000003D">
      <w:pPr>
        <w:spacing w:after="280" w:before="280" w:line="360" w:lineRule="auto"/>
        <w:ind w:firstLine="18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Portanto, deve-se seguir com o trâmite pertinente, e, para tanto essa procuradoria devolve ao setor. É o parecer s.m.j</w:t>
      </w:r>
    </w:p>
    <w:p w:rsidR="00000000" w:rsidDel="00000000" w:rsidP="00000000" w:rsidRDefault="00000000" w:rsidRPr="00000000" w14:paraId="0000003E">
      <w:pPr>
        <w:spacing w:after="280" w:before="280" w:line="360" w:lineRule="auto"/>
        <w:ind w:firstLine="17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Jardim do Seridó - RN, 28 de junho de 2023.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1723707</wp:posOffset>
            </wp:positionH>
            <wp:positionV relativeFrom="paragraph">
              <wp:posOffset>236220</wp:posOffset>
            </wp:positionV>
            <wp:extent cx="1952625" cy="466725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66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F">
      <w:pPr>
        <w:tabs>
          <w:tab w:val="left" w:leader="none" w:pos="3345"/>
        </w:tabs>
        <w:spacing w:after="280" w:before="28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40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LUISIANE MORAIS DA FONSECA</w:t>
      </w:r>
    </w:p>
    <w:p w:rsidR="00000000" w:rsidDel="00000000" w:rsidP="00000000" w:rsidRDefault="00000000" w:rsidRPr="00000000" w14:paraId="00000041">
      <w:pPr>
        <w:spacing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Assessora Jurídica</w: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-24764</wp:posOffset>
          </wp:positionH>
          <wp:positionV relativeFrom="margin">
            <wp:posOffset>-898524</wp:posOffset>
          </wp:positionV>
          <wp:extent cx="7558769" cy="10692000"/>
          <wp:effectExtent b="0" l="0" r="0" t="0"/>
          <wp:wrapNone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18" w:hanging="360"/>
      </w:pPr>
      <w:rPr/>
    </w:lvl>
    <w:lvl w:ilvl="1">
      <w:start w:val="1"/>
      <w:numFmt w:val="decimal"/>
      <w:lvlText w:val="%1.%2"/>
      <w:lvlJc w:val="left"/>
      <w:pPr>
        <w:ind w:left="713" w:hanging="495"/>
      </w:pPr>
      <w:rPr/>
    </w:lvl>
    <w:lvl w:ilvl="2">
      <w:start w:val="1"/>
      <w:numFmt w:val="decimal"/>
      <w:lvlText w:val="%1.%2.%3"/>
      <w:lvlJc w:val="left"/>
      <w:pPr>
        <w:ind w:left="1298" w:hanging="719.9999999999999"/>
      </w:pPr>
      <w:rPr/>
    </w:lvl>
    <w:lvl w:ilvl="3">
      <w:start w:val="1"/>
      <w:numFmt w:val="decimal"/>
      <w:lvlText w:val="%1.%2.%3.%4"/>
      <w:lvlJc w:val="left"/>
      <w:pPr>
        <w:ind w:left="1658" w:hanging="719.9999999999999"/>
      </w:pPr>
      <w:rPr/>
    </w:lvl>
    <w:lvl w:ilvl="4">
      <w:start w:val="1"/>
      <w:numFmt w:val="decimal"/>
      <w:lvlText w:val="%1.%2.%3.%4.%5"/>
      <w:lvlJc w:val="left"/>
      <w:pPr>
        <w:ind w:left="2378" w:hanging="1080"/>
      </w:pPr>
      <w:rPr/>
    </w:lvl>
    <w:lvl w:ilvl="5">
      <w:start w:val="1"/>
      <w:numFmt w:val="decimal"/>
      <w:lvlText w:val="%1.%2.%3.%4.%5.%6"/>
      <w:lvlJc w:val="left"/>
      <w:pPr>
        <w:ind w:left="2738" w:hanging="1080"/>
      </w:pPr>
      <w:rPr/>
    </w:lvl>
    <w:lvl w:ilvl="6">
      <w:start w:val="1"/>
      <w:numFmt w:val="decimal"/>
      <w:lvlText w:val="%1.%2.%3.%4.%5.%6.%7"/>
      <w:lvlJc w:val="left"/>
      <w:pPr>
        <w:ind w:left="3458" w:hanging="1440"/>
      </w:pPr>
      <w:rPr/>
    </w:lvl>
    <w:lvl w:ilvl="7">
      <w:start w:val="1"/>
      <w:numFmt w:val="decimal"/>
      <w:lvlText w:val="%1.%2.%3.%4.%5.%6.%7.%8"/>
      <w:lvlJc w:val="left"/>
      <w:pPr>
        <w:ind w:left="3818" w:hanging="1440"/>
      </w:pPr>
      <w:rPr/>
    </w:lvl>
    <w:lvl w:ilvl="8">
      <w:start w:val="1"/>
      <w:numFmt w:val="decimal"/>
      <w:lvlText w:val="%1.%2.%3.%4.%5.%6.%7.%8.%9"/>
      <w:lvlJc w:val="left"/>
      <w:pPr>
        <w:ind w:left="4538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665C1"/>
  </w:style>
  <w:style w:type="paragraph" w:styleId="Ttulo1">
    <w:name w:val="heading 1"/>
    <w:basedOn w:val="Normal"/>
    <w:next w:val="Normal"/>
    <w:link w:val="Ttulo1Char"/>
    <w:uiPriority w:val="9"/>
    <w:qFormat w:val="1"/>
    <w:rsid w:val="00ED0BBF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ntstyle01" w:customStyle="1">
    <w:name w:val="fontstyle01"/>
    <w:basedOn w:val="Fontepargpadro"/>
    <w:rsid w:val="009775BC"/>
    <w:rPr>
      <w:rFonts w:ascii="Arial" w:cs="Arial" w:hAnsi="Arial" w:hint="default"/>
      <w:b w:val="0"/>
      <w:bCs w:val="0"/>
      <w:i w:val="0"/>
      <w:iCs w:val="0"/>
      <w:color w:val="000000"/>
      <w:sz w:val="16"/>
      <w:szCs w:val="16"/>
    </w:rPr>
  </w:style>
  <w:style w:type="paragraph" w:styleId="Nivel1" w:customStyle="1">
    <w:name w:val="Nivel1"/>
    <w:basedOn w:val="Ttulo1"/>
    <w:next w:val="Normal"/>
    <w:qFormat w:val="1"/>
    <w:rsid w:val="00ED0BBF"/>
    <w:pPr>
      <w:numPr>
        <w:numId w:val="1"/>
      </w:numPr>
      <w:tabs>
        <w:tab w:val="num" w:pos="360"/>
      </w:tabs>
      <w:spacing w:after="120" w:before="480" w:line="276" w:lineRule="auto"/>
      <w:ind w:left="0" w:firstLine="0"/>
      <w:jc w:val="both"/>
    </w:pPr>
    <w:rPr>
      <w:rFonts w:ascii="Arial" w:cs="Arial" w:eastAsia="Times New Roman" w:hAnsi="Arial"/>
      <w:b w:val="1"/>
      <w:color w:val="000000"/>
      <w:lang w:eastAsia="pt-BR"/>
    </w:rPr>
  </w:style>
  <w:style w:type="character" w:styleId="Ttulo1Char" w:customStyle="1">
    <w:name w:val="Título 1 Char"/>
    <w:basedOn w:val="Fontepargpadro"/>
    <w:link w:val="Ttulo1"/>
    <w:uiPriority w:val="9"/>
    <w:rsid w:val="00ED0BB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NormalWeb">
    <w:name w:val="Normal (Web)"/>
    <w:basedOn w:val="Normal"/>
    <w:uiPriority w:val="99"/>
    <w:semiHidden w:val="1"/>
    <w:unhideWhenUsed w:val="1"/>
    <w:rsid w:val="00ED0BB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BE4105"/>
    <w:pPr>
      <w:widowControl w:val="0"/>
      <w:autoSpaceDE w:val="0"/>
      <w:autoSpaceDN w:val="0"/>
      <w:spacing w:after="0" w:line="240" w:lineRule="auto"/>
      <w:ind w:left="755"/>
      <w:jc w:val="both"/>
    </w:pPr>
    <w:rPr>
      <w:rFonts w:ascii="Times New Roman" w:cs="Times New Roman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 w:val="1"/>
    <w:rsid w:val="008F3B8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F3B8A"/>
  </w:style>
  <w:style w:type="paragraph" w:styleId="Rodap">
    <w:name w:val="footer"/>
    <w:basedOn w:val="Normal"/>
    <w:link w:val="RodapChar"/>
    <w:uiPriority w:val="99"/>
    <w:unhideWhenUsed w:val="1"/>
    <w:rsid w:val="008F3B8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F3B8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cBdEMZefJHJmFPVpkbfdhy0uBQ==">CgMxLjAyCGguZ2pkZ3hzOAByITFycHgxMVJMSldqdnoyS1pac2x5cmdwTjlnakIyOVZ4NQ==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2023-06-26T14:09:00Z</dcterms:created>
  <dc:creator>CONTROLADORIA CMJS</dc:creator>
</cp:coreProperties>
</file>